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4F4B" w14:textId="77777777" w:rsidR="000436A6" w:rsidRDefault="000436A6" w:rsidP="00303DA1">
      <w:pPr>
        <w:spacing w:after="0" w:line="240" w:lineRule="auto"/>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0FD150C4" wp14:editId="6C143782">
            <wp:simplePos x="0" y="0"/>
            <wp:positionH relativeFrom="column">
              <wp:posOffset>-140970</wp:posOffset>
            </wp:positionH>
            <wp:positionV relativeFrom="paragraph">
              <wp:posOffset>13970</wp:posOffset>
            </wp:positionV>
            <wp:extent cx="2581275" cy="96832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College_Logo_Landscape_Full colou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968320"/>
                    </a:xfrm>
                    <a:prstGeom prst="rect">
                      <a:avLst/>
                    </a:prstGeom>
                  </pic:spPr>
                </pic:pic>
              </a:graphicData>
            </a:graphic>
          </wp:anchor>
        </w:drawing>
      </w:r>
    </w:p>
    <w:p w14:paraId="05F0C7FE" w14:textId="77777777" w:rsidR="00303DA1" w:rsidRPr="00724019" w:rsidRDefault="00303DA1" w:rsidP="00303DA1">
      <w:pPr>
        <w:spacing w:after="0" w:line="240" w:lineRule="auto"/>
        <w:rPr>
          <w:rFonts w:ascii="Arial" w:hAnsi="Arial" w:cs="Arial"/>
          <w:b/>
          <w:sz w:val="28"/>
        </w:rPr>
      </w:pPr>
      <w:r w:rsidRPr="00724019">
        <w:rPr>
          <w:rFonts w:ascii="Arial" w:hAnsi="Arial" w:cs="Arial"/>
          <w:b/>
          <w:sz w:val="28"/>
        </w:rPr>
        <w:t>Sydney Secondary College</w:t>
      </w:r>
    </w:p>
    <w:p w14:paraId="01350ECA" w14:textId="77777777" w:rsidR="00DB79A1" w:rsidRDefault="00303DA1" w:rsidP="00303DA1">
      <w:pPr>
        <w:spacing w:after="0" w:line="240" w:lineRule="auto"/>
        <w:rPr>
          <w:rFonts w:ascii="Arial" w:hAnsi="Arial" w:cs="Arial"/>
          <w:b/>
          <w:sz w:val="28"/>
        </w:rPr>
      </w:pPr>
      <w:r w:rsidRPr="00724019">
        <w:rPr>
          <w:rFonts w:ascii="Arial" w:hAnsi="Arial" w:cs="Arial"/>
          <w:b/>
          <w:sz w:val="28"/>
        </w:rPr>
        <w:t>Enrolment Policy</w:t>
      </w:r>
      <w:r w:rsidR="00DB79A1">
        <w:rPr>
          <w:rFonts w:ascii="Arial" w:hAnsi="Arial" w:cs="Arial"/>
          <w:b/>
          <w:sz w:val="28"/>
        </w:rPr>
        <w:t xml:space="preserve"> </w:t>
      </w:r>
    </w:p>
    <w:p w14:paraId="6B851D5B" w14:textId="77777777" w:rsidR="00303DA1" w:rsidRPr="00724019" w:rsidRDefault="00DB79A1" w:rsidP="00303DA1">
      <w:pPr>
        <w:spacing w:after="0" w:line="240" w:lineRule="auto"/>
        <w:rPr>
          <w:rFonts w:ascii="Arial" w:hAnsi="Arial" w:cs="Arial"/>
          <w:b/>
          <w:sz w:val="28"/>
        </w:rPr>
      </w:pPr>
      <w:r>
        <w:rPr>
          <w:rFonts w:ascii="Arial" w:hAnsi="Arial" w:cs="Arial"/>
          <w:b/>
          <w:sz w:val="28"/>
        </w:rPr>
        <w:t>2021-2022</w:t>
      </w:r>
    </w:p>
    <w:p w14:paraId="6CC41691" w14:textId="77777777" w:rsidR="00303DA1" w:rsidRDefault="00303DA1" w:rsidP="00303DA1">
      <w:pPr>
        <w:spacing w:after="0" w:line="240" w:lineRule="auto"/>
        <w:rPr>
          <w:rFonts w:ascii="Arial" w:hAnsi="Arial" w:cs="Arial"/>
        </w:rPr>
      </w:pPr>
    </w:p>
    <w:p w14:paraId="39A2B907" w14:textId="77777777" w:rsidR="00772575" w:rsidRDefault="00772575" w:rsidP="00303DA1">
      <w:pPr>
        <w:spacing w:after="0" w:line="240" w:lineRule="auto"/>
        <w:rPr>
          <w:rFonts w:ascii="Arial" w:hAnsi="Arial" w:cs="Arial"/>
          <w:b/>
        </w:rPr>
      </w:pPr>
    </w:p>
    <w:p w14:paraId="32A1213A" w14:textId="77777777" w:rsidR="00303DA1" w:rsidRPr="00303DA1" w:rsidRDefault="00303DA1" w:rsidP="0005790A">
      <w:pPr>
        <w:shd w:val="clear" w:color="auto" w:fill="D9E2F3" w:themeFill="accent1" w:themeFillTint="33"/>
        <w:spacing w:after="0" w:line="240" w:lineRule="auto"/>
        <w:rPr>
          <w:rFonts w:ascii="Arial" w:hAnsi="Arial" w:cs="Arial"/>
          <w:b/>
        </w:rPr>
      </w:pPr>
      <w:r w:rsidRPr="00303DA1">
        <w:rPr>
          <w:rFonts w:ascii="Arial" w:hAnsi="Arial" w:cs="Arial"/>
          <w:b/>
        </w:rPr>
        <w:t>Background</w:t>
      </w:r>
    </w:p>
    <w:p w14:paraId="6A84862F" w14:textId="77777777" w:rsidR="00724019" w:rsidRDefault="00724019" w:rsidP="00303DA1">
      <w:pPr>
        <w:spacing w:after="0" w:line="240" w:lineRule="auto"/>
        <w:rPr>
          <w:rFonts w:ascii="Arial" w:hAnsi="Arial" w:cs="Arial"/>
        </w:rPr>
      </w:pPr>
    </w:p>
    <w:p w14:paraId="791CAA4A" w14:textId="77777777" w:rsidR="00053BA7" w:rsidRDefault="00303DA1" w:rsidP="00303DA1">
      <w:pPr>
        <w:spacing w:after="0" w:line="240" w:lineRule="auto"/>
        <w:rPr>
          <w:rFonts w:ascii="Arial" w:hAnsi="Arial" w:cs="Arial"/>
        </w:rPr>
      </w:pPr>
      <w:r w:rsidRPr="00303DA1">
        <w:rPr>
          <w:rFonts w:ascii="Arial" w:hAnsi="Arial" w:cs="Arial"/>
        </w:rPr>
        <w:t xml:space="preserve">Sydney Secondary College was established in 2002 and consists of three sites:  </w:t>
      </w:r>
    </w:p>
    <w:p w14:paraId="5BBDC454" w14:textId="77777777" w:rsidR="00053BA7" w:rsidRDefault="00303DA1" w:rsidP="00053BA7">
      <w:pPr>
        <w:pStyle w:val="ListParagraph"/>
        <w:numPr>
          <w:ilvl w:val="0"/>
          <w:numId w:val="4"/>
        </w:numPr>
        <w:spacing w:after="0" w:line="240" w:lineRule="auto"/>
        <w:rPr>
          <w:rFonts w:ascii="Arial" w:hAnsi="Arial" w:cs="Arial"/>
        </w:rPr>
      </w:pPr>
      <w:r w:rsidRPr="00053BA7">
        <w:rPr>
          <w:rFonts w:ascii="Arial" w:hAnsi="Arial" w:cs="Arial"/>
        </w:rPr>
        <w:t xml:space="preserve">Balmain Campus - Years 7–10 </w:t>
      </w:r>
    </w:p>
    <w:p w14:paraId="1A21B6A4" w14:textId="77777777" w:rsidR="00053BA7" w:rsidRDefault="00303DA1" w:rsidP="00053BA7">
      <w:pPr>
        <w:pStyle w:val="ListParagraph"/>
        <w:numPr>
          <w:ilvl w:val="0"/>
          <w:numId w:val="4"/>
        </w:numPr>
        <w:spacing w:after="0" w:line="240" w:lineRule="auto"/>
        <w:rPr>
          <w:rFonts w:ascii="Arial" w:hAnsi="Arial" w:cs="Arial"/>
        </w:rPr>
      </w:pPr>
      <w:r w:rsidRPr="00053BA7">
        <w:rPr>
          <w:rFonts w:ascii="Arial" w:hAnsi="Arial" w:cs="Arial"/>
        </w:rPr>
        <w:t>Leichhardt Campus Years 7–10</w:t>
      </w:r>
      <w:r w:rsidR="00053BA7">
        <w:rPr>
          <w:rFonts w:ascii="Arial" w:hAnsi="Arial" w:cs="Arial"/>
        </w:rPr>
        <w:t>,</w:t>
      </w:r>
      <w:r w:rsidRPr="00053BA7">
        <w:rPr>
          <w:rFonts w:ascii="Arial" w:hAnsi="Arial" w:cs="Arial"/>
        </w:rPr>
        <w:t xml:space="preserve"> and </w:t>
      </w:r>
      <w:r w:rsidR="00CB4080">
        <w:rPr>
          <w:rFonts w:ascii="Arial" w:hAnsi="Arial" w:cs="Arial"/>
        </w:rPr>
        <w:t>3</w:t>
      </w:r>
    </w:p>
    <w:p w14:paraId="1A68692D" w14:textId="77777777" w:rsidR="00303DA1" w:rsidRPr="00053BA7" w:rsidRDefault="00303DA1" w:rsidP="00053BA7">
      <w:pPr>
        <w:pStyle w:val="ListParagraph"/>
        <w:numPr>
          <w:ilvl w:val="0"/>
          <w:numId w:val="4"/>
        </w:numPr>
        <w:spacing w:after="0" w:line="240" w:lineRule="auto"/>
        <w:rPr>
          <w:rFonts w:ascii="Arial" w:hAnsi="Arial" w:cs="Arial"/>
        </w:rPr>
      </w:pPr>
      <w:r w:rsidRPr="00053BA7">
        <w:rPr>
          <w:rFonts w:ascii="Arial" w:hAnsi="Arial" w:cs="Arial"/>
        </w:rPr>
        <w:t>Blackwattle Bay Campus Years 11–12.</w:t>
      </w:r>
    </w:p>
    <w:p w14:paraId="3297B4A5" w14:textId="77777777" w:rsidR="00303DA1" w:rsidRDefault="00303DA1" w:rsidP="00303DA1">
      <w:pPr>
        <w:spacing w:after="0" w:line="240" w:lineRule="auto"/>
        <w:rPr>
          <w:rFonts w:ascii="Arial" w:hAnsi="Arial" w:cs="Arial"/>
        </w:rPr>
      </w:pPr>
    </w:p>
    <w:p w14:paraId="00F9FADB" w14:textId="77777777" w:rsidR="002A7F2D" w:rsidRPr="002A7F2D" w:rsidRDefault="002A7F2D" w:rsidP="002A7F2D">
      <w:pPr>
        <w:spacing w:after="0" w:line="240" w:lineRule="auto"/>
        <w:rPr>
          <w:rFonts w:ascii="Arial" w:hAnsi="Arial" w:cs="Arial"/>
        </w:rPr>
      </w:pPr>
      <w:r w:rsidRPr="002A7F2D">
        <w:rPr>
          <w:rFonts w:ascii="Arial" w:hAnsi="Arial" w:cs="Arial"/>
        </w:rPr>
        <w:t xml:space="preserve">The College caters for all learners with an academically selective stream, a comprehensive </w:t>
      </w:r>
      <w:proofErr w:type="gramStart"/>
      <w:r w:rsidRPr="002A7F2D">
        <w:rPr>
          <w:rFonts w:ascii="Arial" w:hAnsi="Arial" w:cs="Arial"/>
        </w:rPr>
        <w:t>stream</w:t>
      </w:r>
      <w:proofErr w:type="gramEnd"/>
      <w:r w:rsidRPr="002A7F2D">
        <w:rPr>
          <w:rFonts w:ascii="Arial" w:hAnsi="Arial" w:cs="Arial"/>
        </w:rPr>
        <w:t xml:space="preserve"> and a special education stream (for students with physical, mild and moderate intellectual disabilities and students with Autism Spectrum Disorder). Enrichment opportunities are available at both junior campuses. </w:t>
      </w:r>
    </w:p>
    <w:p w14:paraId="11196007" w14:textId="77777777" w:rsidR="002A7F2D" w:rsidRPr="00303DA1" w:rsidRDefault="002A7F2D" w:rsidP="00303DA1">
      <w:pPr>
        <w:spacing w:after="0" w:line="240" w:lineRule="auto"/>
        <w:rPr>
          <w:rFonts w:ascii="Arial" w:hAnsi="Arial" w:cs="Arial"/>
        </w:rPr>
      </w:pPr>
    </w:p>
    <w:p w14:paraId="1585B66D" w14:textId="77777777" w:rsidR="00303DA1" w:rsidRDefault="00303DA1" w:rsidP="00303DA1">
      <w:pPr>
        <w:spacing w:after="0" w:line="240" w:lineRule="auto"/>
        <w:rPr>
          <w:rFonts w:ascii="Arial" w:hAnsi="Arial" w:cs="Arial"/>
        </w:rPr>
      </w:pPr>
      <w:r w:rsidRPr="00303DA1">
        <w:rPr>
          <w:rFonts w:ascii="Arial" w:hAnsi="Arial" w:cs="Arial"/>
        </w:rPr>
        <w:t xml:space="preserve">It is an expectation </w:t>
      </w:r>
      <w:r w:rsidRPr="001F227A">
        <w:rPr>
          <w:rFonts w:ascii="Arial" w:hAnsi="Arial" w:cs="Arial"/>
          <w:color w:val="000000" w:themeColor="text1"/>
        </w:rPr>
        <w:t>that</w:t>
      </w:r>
      <w:r w:rsidR="00CB4080" w:rsidRPr="001F227A">
        <w:rPr>
          <w:rFonts w:ascii="Arial" w:hAnsi="Arial" w:cs="Arial"/>
          <w:color w:val="000000" w:themeColor="text1"/>
        </w:rPr>
        <w:t xml:space="preserve"> all</w:t>
      </w:r>
      <w:r w:rsidRPr="001F227A">
        <w:rPr>
          <w:rFonts w:ascii="Arial" w:hAnsi="Arial" w:cs="Arial"/>
          <w:color w:val="000000" w:themeColor="text1"/>
        </w:rPr>
        <w:t xml:space="preserve"> students</w:t>
      </w:r>
      <w:r w:rsidR="00CB4080" w:rsidRPr="001F227A">
        <w:rPr>
          <w:rFonts w:ascii="Arial" w:hAnsi="Arial" w:cs="Arial"/>
          <w:color w:val="000000" w:themeColor="text1"/>
        </w:rPr>
        <w:t xml:space="preserve"> who</w:t>
      </w:r>
      <w:r w:rsidRPr="001F227A">
        <w:rPr>
          <w:rFonts w:ascii="Arial" w:hAnsi="Arial" w:cs="Arial"/>
          <w:color w:val="000000" w:themeColor="text1"/>
        </w:rPr>
        <w:t xml:space="preserve"> enrol in Year 7 at either of the 7 – 10 campuses</w:t>
      </w:r>
      <w:r w:rsidR="00CB4080" w:rsidRPr="001F227A">
        <w:rPr>
          <w:rFonts w:ascii="Arial" w:hAnsi="Arial" w:cs="Arial"/>
          <w:color w:val="000000" w:themeColor="text1"/>
        </w:rPr>
        <w:t xml:space="preserve"> will</w:t>
      </w:r>
      <w:r w:rsidRPr="001F227A">
        <w:rPr>
          <w:rFonts w:ascii="Arial" w:hAnsi="Arial" w:cs="Arial"/>
          <w:color w:val="000000" w:themeColor="text1"/>
        </w:rPr>
        <w:t xml:space="preserve"> progress to Years 11 and 12 at Blackwattle Bay Campus.</w:t>
      </w:r>
    </w:p>
    <w:p w14:paraId="45B43652" w14:textId="77777777" w:rsidR="00303DA1" w:rsidRDefault="00303DA1" w:rsidP="00303DA1">
      <w:pPr>
        <w:spacing w:after="0" w:line="240" w:lineRule="auto"/>
        <w:rPr>
          <w:rFonts w:ascii="Arial" w:hAnsi="Arial" w:cs="Arial"/>
        </w:rPr>
      </w:pPr>
    </w:p>
    <w:p w14:paraId="2D94CB42" w14:textId="77777777" w:rsidR="00303DA1" w:rsidRPr="00303DA1" w:rsidRDefault="00303DA1" w:rsidP="0005790A">
      <w:pPr>
        <w:shd w:val="clear" w:color="auto" w:fill="D9E2F3" w:themeFill="accent1" w:themeFillTint="33"/>
        <w:spacing w:after="0" w:line="240" w:lineRule="auto"/>
        <w:rPr>
          <w:rFonts w:ascii="Arial" w:hAnsi="Arial" w:cs="Arial"/>
          <w:b/>
        </w:rPr>
      </w:pPr>
      <w:r w:rsidRPr="00303DA1">
        <w:rPr>
          <w:rFonts w:ascii="Arial" w:hAnsi="Arial" w:cs="Arial"/>
          <w:b/>
        </w:rPr>
        <w:t>Introduction</w:t>
      </w:r>
    </w:p>
    <w:p w14:paraId="40466E81" w14:textId="77777777" w:rsidR="00724019" w:rsidRDefault="00724019" w:rsidP="00303DA1">
      <w:pPr>
        <w:spacing w:after="0" w:line="240" w:lineRule="auto"/>
        <w:rPr>
          <w:rFonts w:ascii="Arial" w:hAnsi="Arial" w:cs="Arial"/>
        </w:rPr>
      </w:pPr>
    </w:p>
    <w:p w14:paraId="690A284C" w14:textId="77777777" w:rsidR="00303DA1" w:rsidRDefault="00303DA1" w:rsidP="00303DA1">
      <w:pPr>
        <w:spacing w:after="0" w:line="240" w:lineRule="auto"/>
        <w:rPr>
          <w:rFonts w:ascii="Arial" w:hAnsi="Arial" w:cs="Arial"/>
        </w:rPr>
      </w:pPr>
      <w:r>
        <w:rPr>
          <w:rFonts w:ascii="Arial" w:hAnsi="Arial" w:cs="Arial"/>
        </w:rPr>
        <w:t xml:space="preserve">This document should be read in conjunction with the </w:t>
      </w:r>
      <w:hyperlink r:id="rId8" w:history="1">
        <w:r w:rsidRPr="0005790A">
          <w:rPr>
            <w:rStyle w:val="Hyperlink"/>
            <w:rFonts w:ascii="Arial" w:hAnsi="Arial" w:cs="Arial"/>
          </w:rPr>
          <w:t>Enrolment of students in NSW Government schools</w:t>
        </w:r>
      </w:hyperlink>
      <w:r>
        <w:rPr>
          <w:rFonts w:ascii="Arial" w:hAnsi="Arial" w:cs="Arial"/>
        </w:rPr>
        <w:t xml:space="preserve"> policy and</w:t>
      </w:r>
      <w:r w:rsidR="0005790A">
        <w:rPr>
          <w:rFonts w:ascii="Arial" w:hAnsi="Arial" w:cs="Arial"/>
        </w:rPr>
        <w:t xml:space="preserve"> </w:t>
      </w:r>
      <w:hyperlink r:id="rId9" w:history="1">
        <w:r w:rsidR="0005790A" w:rsidRPr="0005790A">
          <w:rPr>
            <w:rStyle w:val="Hyperlink"/>
            <w:rFonts w:ascii="Arial" w:hAnsi="Arial" w:cs="Arial"/>
          </w:rPr>
          <w:t>Information For Parents</w:t>
        </w:r>
      </w:hyperlink>
      <w:r w:rsidR="0005790A">
        <w:rPr>
          <w:rFonts w:ascii="Arial" w:hAnsi="Arial" w:cs="Arial"/>
        </w:rPr>
        <w:t xml:space="preserve"> </w:t>
      </w:r>
      <w:r>
        <w:rPr>
          <w:rFonts w:ascii="Arial" w:hAnsi="Arial" w:cs="Arial"/>
        </w:rPr>
        <w:t>documents produced by the NSW Department of Education.</w:t>
      </w:r>
    </w:p>
    <w:p w14:paraId="45B8D8DB" w14:textId="77777777" w:rsidR="00303DA1" w:rsidRDefault="00303DA1" w:rsidP="00303DA1">
      <w:pPr>
        <w:spacing w:after="0" w:line="240" w:lineRule="auto"/>
        <w:rPr>
          <w:rFonts w:ascii="Arial" w:hAnsi="Arial" w:cs="Arial"/>
        </w:rPr>
      </w:pPr>
    </w:p>
    <w:p w14:paraId="5F641CF4" w14:textId="77777777" w:rsidR="00303DA1" w:rsidRDefault="00303DA1" w:rsidP="00303DA1">
      <w:pPr>
        <w:spacing w:after="0" w:line="240" w:lineRule="auto"/>
        <w:rPr>
          <w:rFonts w:ascii="Arial" w:hAnsi="Arial" w:cs="Arial"/>
        </w:rPr>
      </w:pPr>
      <w:r w:rsidRPr="00303DA1">
        <w:rPr>
          <w:rFonts w:ascii="Arial" w:hAnsi="Arial" w:cs="Arial"/>
        </w:rPr>
        <w:t xml:space="preserve">Compulsory school aged students are entitled to enrol at </w:t>
      </w:r>
      <w:r w:rsidRPr="001F227A">
        <w:rPr>
          <w:rFonts w:ascii="Arial" w:hAnsi="Arial" w:cs="Arial"/>
          <w:color w:val="000000" w:themeColor="text1"/>
        </w:rPr>
        <w:t xml:space="preserve">the local </w:t>
      </w:r>
      <w:r w:rsidR="00CB4080" w:rsidRPr="001F227A">
        <w:rPr>
          <w:rFonts w:ascii="Arial" w:hAnsi="Arial" w:cs="Arial"/>
          <w:color w:val="000000" w:themeColor="text1"/>
        </w:rPr>
        <w:t xml:space="preserve">government </w:t>
      </w:r>
      <w:r w:rsidRPr="001F227A">
        <w:rPr>
          <w:rFonts w:ascii="Arial" w:hAnsi="Arial" w:cs="Arial"/>
          <w:color w:val="000000" w:themeColor="text1"/>
        </w:rPr>
        <w:t xml:space="preserve">school that </w:t>
      </w:r>
      <w:r w:rsidR="00CB4080" w:rsidRPr="001F227A">
        <w:rPr>
          <w:rFonts w:ascii="Arial" w:hAnsi="Arial" w:cs="Arial"/>
          <w:color w:val="000000" w:themeColor="text1"/>
        </w:rPr>
        <w:t xml:space="preserve">is designated for the intake area in which the child’s home is situated. </w:t>
      </w:r>
    </w:p>
    <w:p w14:paraId="1EB79CDA" w14:textId="77777777" w:rsidR="00303DA1" w:rsidRDefault="00303DA1" w:rsidP="00303DA1">
      <w:pPr>
        <w:spacing w:after="0" w:line="240" w:lineRule="auto"/>
        <w:rPr>
          <w:rFonts w:ascii="Arial" w:hAnsi="Arial" w:cs="Arial"/>
        </w:rPr>
      </w:pPr>
      <w:r w:rsidRPr="00303DA1">
        <w:rPr>
          <w:rFonts w:ascii="Arial" w:hAnsi="Arial" w:cs="Arial"/>
        </w:rPr>
        <w:t>Schools require an Authority to Enrol for each temporary resident and international student enrolment which is issued by DE International and the Temporary Resident Program.</w:t>
      </w:r>
    </w:p>
    <w:p w14:paraId="0509135E" w14:textId="77777777" w:rsidR="00303DA1" w:rsidRDefault="00303DA1" w:rsidP="00303DA1">
      <w:pPr>
        <w:spacing w:after="0" w:line="240" w:lineRule="auto"/>
        <w:rPr>
          <w:rFonts w:ascii="Arial" w:hAnsi="Arial" w:cs="Arial"/>
        </w:rPr>
      </w:pPr>
    </w:p>
    <w:p w14:paraId="4838AB27" w14:textId="77777777" w:rsidR="00303DA1" w:rsidRPr="00303DA1" w:rsidRDefault="00303DA1" w:rsidP="00303DA1">
      <w:pPr>
        <w:spacing w:after="0" w:line="240" w:lineRule="auto"/>
        <w:rPr>
          <w:rFonts w:ascii="Arial" w:hAnsi="Arial" w:cs="Arial"/>
        </w:rPr>
      </w:pPr>
    </w:p>
    <w:p w14:paraId="410AE53D" w14:textId="77777777" w:rsidR="00303DA1" w:rsidRPr="00303DA1" w:rsidRDefault="00303DA1" w:rsidP="0005790A">
      <w:pPr>
        <w:shd w:val="clear" w:color="auto" w:fill="D9E2F3" w:themeFill="accent1" w:themeFillTint="33"/>
        <w:spacing w:after="0" w:line="240" w:lineRule="auto"/>
        <w:rPr>
          <w:rFonts w:ascii="Arial" w:hAnsi="Arial" w:cs="Arial"/>
          <w:b/>
        </w:rPr>
      </w:pPr>
      <w:r w:rsidRPr="00303DA1">
        <w:rPr>
          <w:rFonts w:ascii="Arial" w:hAnsi="Arial" w:cs="Arial"/>
          <w:b/>
        </w:rPr>
        <w:t xml:space="preserve">Enrolment procedures for students </w:t>
      </w:r>
      <w:r w:rsidRPr="00053BA7">
        <w:rPr>
          <w:rFonts w:ascii="Arial" w:hAnsi="Arial" w:cs="Arial"/>
          <w:b/>
          <w:u w:val="single"/>
        </w:rPr>
        <w:t>living within the designated</w:t>
      </w:r>
      <w:r w:rsidRPr="00303DA1">
        <w:rPr>
          <w:rFonts w:ascii="Arial" w:hAnsi="Arial" w:cs="Arial"/>
          <w:b/>
        </w:rPr>
        <w:t xml:space="preserve"> drawing area</w:t>
      </w:r>
    </w:p>
    <w:p w14:paraId="5A09287B" w14:textId="77777777" w:rsidR="00303DA1" w:rsidRDefault="00303DA1" w:rsidP="00303DA1">
      <w:pPr>
        <w:spacing w:after="0" w:line="240" w:lineRule="auto"/>
        <w:rPr>
          <w:rFonts w:ascii="Arial" w:hAnsi="Arial" w:cs="Arial"/>
        </w:rPr>
      </w:pPr>
    </w:p>
    <w:p w14:paraId="2C62CFED" w14:textId="77777777" w:rsidR="00303DA1" w:rsidRDefault="00303DA1" w:rsidP="00303DA1">
      <w:pPr>
        <w:spacing w:after="0" w:line="240" w:lineRule="auto"/>
        <w:rPr>
          <w:rFonts w:ascii="Arial" w:hAnsi="Arial" w:cs="Arial"/>
        </w:rPr>
      </w:pPr>
      <w:r w:rsidRPr="00303DA1">
        <w:rPr>
          <w:rFonts w:ascii="Arial" w:hAnsi="Arial" w:cs="Arial"/>
        </w:rPr>
        <w:t>Students living within the designated drawing areas for Balmain, Leichhardt or Blackwattle Bay Campuses have automatic enrolment into the respective Campus.</w:t>
      </w:r>
    </w:p>
    <w:p w14:paraId="65CF7762" w14:textId="77777777" w:rsidR="00053BA7" w:rsidRDefault="00053BA7" w:rsidP="00303DA1">
      <w:pPr>
        <w:spacing w:after="0" w:line="240" w:lineRule="auto"/>
        <w:rPr>
          <w:rFonts w:ascii="Arial" w:hAnsi="Arial" w:cs="Arial"/>
        </w:rPr>
      </w:pPr>
    </w:p>
    <w:p w14:paraId="6323E4F5" w14:textId="77777777" w:rsidR="00053BA7" w:rsidRPr="00303DA1" w:rsidRDefault="00053BA7" w:rsidP="00303DA1">
      <w:pPr>
        <w:spacing w:after="0" w:line="240" w:lineRule="auto"/>
        <w:rPr>
          <w:rFonts w:ascii="Arial" w:hAnsi="Arial" w:cs="Arial"/>
        </w:rPr>
      </w:pPr>
      <w:r w:rsidRPr="00053BA7">
        <w:rPr>
          <w:rFonts w:ascii="Arial" w:hAnsi="Arial" w:cs="Arial"/>
        </w:rPr>
        <w:t xml:space="preserve">Check your address on </w:t>
      </w:r>
      <w:hyperlink r:id="rId10" w:history="1">
        <w:r w:rsidRPr="00053BA7">
          <w:rPr>
            <w:rStyle w:val="Hyperlink"/>
            <w:rFonts w:ascii="Arial" w:hAnsi="Arial" w:cs="Arial"/>
          </w:rPr>
          <w:t>School Finder</w:t>
        </w:r>
      </w:hyperlink>
      <w:r w:rsidRPr="00053BA7">
        <w:rPr>
          <w:rFonts w:ascii="Arial" w:hAnsi="Arial" w:cs="Arial"/>
        </w:rPr>
        <w:t xml:space="preserve"> to see if it is within our local intake area. Most schools have designated local enrolment areas. Note: local enrolment areas are subject to change.</w:t>
      </w:r>
    </w:p>
    <w:p w14:paraId="73137C98" w14:textId="77777777" w:rsidR="00303DA1" w:rsidRPr="00303DA1" w:rsidRDefault="00303DA1" w:rsidP="00303DA1">
      <w:pPr>
        <w:spacing w:after="0" w:line="240" w:lineRule="auto"/>
        <w:rPr>
          <w:rFonts w:ascii="Arial" w:hAnsi="Arial" w:cs="Arial"/>
        </w:rPr>
      </w:pPr>
    </w:p>
    <w:p w14:paraId="4D9FBB25" w14:textId="77777777" w:rsidR="00303DA1" w:rsidRPr="00303DA1" w:rsidRDefault="00303DA1" w:rsidP="00303DA1">
      <w:pPr>
        <w:spacing w:after="0" w:line="240" w:lineRule="auto"/>
        <w:rPr>
          <w:rFonts w:ascii="Arial" w:hAnsi="Arial" w:cs="Arial"/>
        </w:rPr>
      </w:pPr>
      <w:r w:rsidRPr="00303DA1">
        <w:rPr>
          <w:rFonts w:ascii="Arial" w:hAnsi="Arial" w:cs="Arial"/>
        </w:rPr>
        <w:t>Parents/guardians of students living within the designated drawing areas for Balmain, Leichhardt or Blackwattle Bay Campuses should contact the office of the respective campus to make an appointment for a pre-enrolment interview.</w:t>
      </w:r>
      <w:r w:rsidR="00724019">
        <w:rPr>
          <w:rFonts w:ascii="Arial" w:hAnsi="Arial" w:cs="Arial"/>
        </w:rPr>
        <w:t xml:space="preserve"> </w:t>
      </w:r>
      <w:r w:rsidR="008C7BC4">
        <w:rPr>
          <w:rFonts w:ascii="Arial" w:hAnsi="Arial" w:cs="Arial"/>
        </w:rPr>
        <w:t xml:space="preserve">A principal may refuse to enrol a student with documented violent behaviour when risk mitigation strategies or adjustments are not possible to manage the risk. </w:t>
      </w:r>
    </w:p>
    <w:p w14:paraId="03DB51E3" w14:textId="77777777" w:rsidR="00724019" w:rsidRPr="001F227A" w:rsidRDefault="00724019" w:rsidP="00724019">
      <w:pPr>
        <w:spacing w:after="0" w:line="240" w:lineRule="auto"/>
        <w:rPr>
          <w:rFonts w:ascii="Arial" w:hAnsi="Arial" w:cs="Arial"/>
          <w:color w:val="000000" w:themeColor="text1"/>
        </w:rPr>
      </w:pPr>
    </w:p>
    <w:p w14:paraId="0FE123F8" w14:textId="77777777" w:rsidR="00724019" w:rsidRPr="00303DA1" w:rsidRDefault="00724019" w:rsidP="00724019">
      <w:pPr>
        <w:spacing w:after="0" w:line="240" w:lineRule="auto"/>
        <w:rPr>
          <w:rFonts w:ascii="Arial" w:hAnsi="Arial" w:cs="Arial"/>
        </w:rPr>
      </w:pPr>
      <w:r w:rsidRPr="001F227A">
        <w:rPr>
          <w:rFonts w:ascii="Arial" w:hAnsi="Arial" w:cs="Arial"/>
          <w:color w:val="000000" w:themeColor="text1"/>
        </w:rPr>
        <w:t xml:space="preserve">Parents/guardians are asked to </w:t>
      </w:r>
      <w:r w:rsidR="00E77485" w:rsidRPr="001F227A">
        <w:rPr>
          <w:rFonts w:ascii="Arial" w:hAnsi="Arial" w:cs="Arial"/>
          <w:color w:val="000000" w:themeColor="text1"/>
        </w:rPr>
        <w:t>supply</w:t>
      </w:r>
      <w:r w:rsidRPr="001F227A">
        <w:rPr>
          <w:rFonts w:ascii="Arial" w:hAnsi="Arial" w:cs="Arial"/>
          <w:color w:val="000000" w:themeColor="text1"/>
        </w:rPr>
        <w:t xml:space="preserve"> a copy of the child's birth certificate</w:t>
      </w:r>
      <w:r w:rsidR="00E77485" w:rsidRPr="001F227A">
        <w:rPr>
          <w:rFonts w:ascii="Arial" w:hAnsi="Arial" w:cs="Arial"/>
          <w:color w:val="000000" w:themeColor="text1"/>
        </w:rPr>
        <w:t xml:space="preserve"> prior</w:t>
      </w:r>
      <w:r w:rsidRPr="001F227A">
        <w:rPr>
          <w:rFonts w:ascii="Arial" w:hAnsi="Arial" w:cs="Arial"/>
          <w:color w:val="000000" w:themeColor="text1"/>
        </w:rPr>
        <w:t xml:space="preserve"> to</w:t>
      </w:r>
      <w:r w:rsidR="00E77485" w:rsidRPr="001F227A">
        <w:rPr>
          <w:rFonts w:ascii="Arial" w:hAnsi="Arial" w:cs="Arial"/>
          <w:color w:val="000000" w:themeColor="text1"/>
        </w:rPr>
        <w:t xml:space="preserve"> an enrolment</w:t>
      </w:r>
      <w:r w:rsidRPr="001F227A">
        <w:rPr>
          <w:rFonts w:ascii="Arial" w:hAnsi="Arial" w:cs="Arial"/>
          <w:color w:val="000000" w:themeColor="text1"/>
        </w:rPr>
        <w:t xml:space="preserve"> </w:t>
      </w:r>
      <w:r w:rsidRPr="00303DA1">
        <w:rPr>
          <w:rFonts w:ascii="Arial" w:hAnsi="Arial" w:cs="Arial"/>
        </w:rPr>
        <w:t>interview, or if the child is not a permanent resident, a passport and appropriate visa. If there are any current family court orders in place, please also bring the original document.</w:t>
      </w:r>
    </w:p>
    <w:p w14:paraId="4B2DA4E7" w14:textId="77777777" w:rsidR="00303DA1" w:rsidRPr="00303DA1" w:rsidRDefault="00303DA1" w:rsidP="00303DA1">
      <w:pPr>
        <w:spacing w:after="0" w:line="240" w:lineRule="auto"/>
        <w:rPr>
          <w:rFonts w:ascii="Arial" w:hAnsi="Arial" w:cs="Arial"/>
        </w:rPr>
      </w:pPr>
    </w:p>
    <w:p w14:paraId="311C1A85" w14:textId="77777777" w:rsidR="00724019" w:rsidRDefault="00724019" w:rsidP="00724019">
      <w:pPr>
        <w:spacing w:after="0" w:line="240" w:lineRule="auto"/>
        <w:rPr>
          <w:rFonts w:ascii="Arial" w:hAnsi="Arial" w:cs="Arial"/>
        </w:rPr>
      </w:pPr>
      <w:r w:rsidRPr="00724019">
        <w:rPr>
          <w:rFonts w:ascii="Arial" w:hAnsi="Arial" w:cs="Arial"/>
        </w:rPr>
        <w:t xml:space="preserve">Under the Education Act 1990, principals may require proof of address to their satisfaction </w:t>
      </w:r>
      <w:proofErr w:type="gramStart"/>
      <w:r w:rsidRPr="00724019">
        <w:rPr>
          <w:rFonts w:ascii="Arial" w:hAnsi="Arial" w:cs="Arial"/>
        </w:rPr>
        <w:t>in order to</w:t>
      </w:r>
      <w:proofErr w:type="gramEnd"/>
      <w:r w:rsidRPr="00724019">
        <w:rPr>
          <w:rFonts w:ascii="Arial" w:hAnsi="Arial" w:cs="Arial"/>
        </w:rPr>
        <w:t xml:space="preserve"> establish a child’s entitlement to enrol in the school. However, any requests for proof of address must be reasonable in the circumstances.</w:t>
      </w:r>
    </w:p>
    <w:p w14:paraId="1E3229AC" w14:textId="77777777" w:rsidR="00724019" w:rsidRPr="00724019" w:rsidRDefault="00724019" w:rsidP="00724019">
      <w:pPr>
        <w:spacing w:after="0" w:line="240" w:lineRule="auto"/>
        <w:rPr>
          <w:rFonts w:ascii="Arial" w:hAnsi="Arial" w:cs="Arial"/>
        </w:rPr>
      </w:pPr>
    </w:p>
    <w:p w14:paraId="05757EA9" w14:textId="77777777" w:rsidR="00724019" w:rsidRDefault="00724019" w:rsidP="00A01191">
      <w:pPr>
        <w:spacing w:after="0" w:line="240" w:lineRule="auto"/>
        <w:rPr>
          <w:rFonts w:ascii="Arial" w:hAnsi="Arial" w:cs="Arial"/>
        </w:rPr>
      </w:pPr>
      <w:r>
        <w:rPr>
          <w:rFonts w:ascii="Arial" w:hAnsi="Arial" w:cs="Arial"/>
        </w:rPr>
        <w:t>Each campus</w:t>
      </w:r>
      <w:r w:rsidRPr="00724019">
        <w:rPr>
          <w:rFonts w:ascii="Arial" w:hAnsi="Arial" w:cs="Arial"/>
        </w:rPr>
        <w:t xml:space="preserve"> will use the following 100-point residential address check to determine the student’s entitlement to enrol at the school</w:t>
      </w:r>
      <w:r w:rsidR="000436A6">
        <w:rPr>
          <w:rFonts w:ascii="Arial" w:hAnsi="Arial" w:cs="Arial"/>
        </w:rPr>
        <w:t>.</w:t>
      </w:r>
    </w:p>
    <w:p w14:paraId="0788BE57" w14:textId="77777777" w:rsidR="001F227A" w:rsidRDefault="001F227A" w:rsidP="00A01191">
      <w:pPr>
        <w:spacing w:after="0" w:line="240" w:lineRule="auto"/>
        <w:rPr>
          <w:rFonts w:ascii="Arial" w:hAnsi="Arial" w:cs="Arial"/>
        </w:rPr>
      </w:pPr>
    </w:p>
    <w:tbl>
      <w:tblPr>
        <w:tblStyle w:val="TableGrid"/>
        <w:tblW w:w="0" w:type="auto"/>
        <w:tblLook w:val="04A0" w:firstRow="1" w:lastRow="0" w:firstColumn="1" w:lastColumn="0" w:noHBand="0" w:noVBand="1"/>
      </w:tblPr>
      <w:tblGrid>
        <w:gridCol w:w="8617"/>
        <w:gridCol w:w="1351"/>
      </w:tblGrid>
      <w:tr w:rsidR="00724019" w14:paraId="2BDFAC9F" w14:textId="77777777" w:rsidTr="000436A6">
        <w:tc>
          <w:tcPr>
            <w:tcW w:w="9067" w:type="dxa"/>
            <w:shd w:val="clear" w:color="auto" w:fill="000000" w:themeFill="text1"/>
          </w:tcPr>
          <w:p w14:paraId="23FAB1C6" w14:textId="77777777" w:rsidR="00724019" w:rsidRPr="000436A6" w:rsidRDefault="00724019" w:rsidP="000436A6">
            <w:pPr>
              <w:jc w:val="center"/>
              <w:rPr>
                <w:rFonts w:ascii="Arial" w:hAnsi="Arial" w:cs="Arial"/>
                <w:color w:val="FFFFFF" w:themeColor="background1"/>
                <w:sz w:val="20"/>
              </w:rPr>
            </w:pPr>
            <w:r w:rsidRPr="000436A6">
              <w:rPr>
                <w:rFonts w:ascii="Arial" w:hAnsi="Arial" w:cs="Arial"/>
                <w:color w:val="FFFFFF" w:themeColor="background1"/>
                <w:sz w:val="20"/>
              </w:rPr>
              <w:lastRenderedPageBreak/>
              <w:t>Document showing the full name of the child’s parent</w:t>
            </w:r>
          </w:p>
        </w:tc>
        <w:tc>
          <w:tcPr>
            <w:tcW w:w="1389" w:type="dxa"/>
            <w:shd w:val="clear" w:color="auto" w:fill="000000" w:themeFill="text1"/>
          </w:tcPr>
          <w:p w14:paraId="6382CC2C" w14:textId="77777777" w:rsidR="00724019" w:rsidRPr="000436A6" w:rsidRDefault="00724019" w:rsidP="000436A6">
            <w:pPr>
              <w:jc w:val="center"/>
              <w:rPr>
                <w:rFonts w:ascii="Arial" w:hAnsi="Arial" w:cs="Arial"/>
                <w:color w:val="FFFFFF" w:themeColor="background1"/>
                <w:sz w:val="20"/>
              </w:rPr>
            </w:pPr>
            <w:r w:rsidRPr="000436A6">
              <w:rPr>
                <w:rFonts w:ascii="Arial" w:hAnsi="Arial" w:cs="Arial"/>
                <w:color w:val="FFFFFF" w:themeColor="background1"/>
                <w:sz w:val="20"/>
              </w:rPr>
              <w:t>Points</w:t>
            </w:r>
          </w:p>
        </w:tc>
      </w:tr>
      <w:tr w:rsidR="00724019" w14:paraId="12ABF755" w14:textId="77777777" w:rsidTr="000436A6">
        <w:tc>
          <w:tcPr>
            <w:tcW w:w="9067" w:type="dxa"/>
          </w:tcPr>
          <w:p w14:paraId="3EEE142C" w14:textId="77777777" w:rsidR="000436A6" w:rsidRDefault="000436A6" w:rsidP="00724019">
            <w:pPr>
              <w:rPr>
                <w:rFonts w:ascii="Arial" w:hAnsi="Arial" w:cs="Arial"/>
                <w:sz w:val="20"/>
              </w:rPr>
            </w:pPr>
          </w:p>
          <w:p w14:paraId="4E88AF9B" w14:textId="77777777" w:rsidR="00724019" w:rsidRPr="00887B6D" w:rsidRDefault="00724019" w:rsidP="00724019">
            <w:pPr>
              <w:rPr>
                <w:rFonts w:ascii="Arial" w:hAnsi="Arial" w:cs="Arial"/>
                <w:sz w:val="20"/>
              </w:rPr>
            </w:pPr>
            <w:r w:rsidRPr="00887B6D">
              <w:rPr>
                <w:rFonts w:ascii="Arial" w:hAnsi="Arial" w:cs="Arial"/>
                <w:sz w:val="20"/>
              </w:rPr>
              <w:t>1. Only one of (i.e. no additional points for additional documents)</w:t>
            </w:r>
          </w:p>
          <w:p w14:paraId="6CC59C0E" w14:textId="77777777" w:rsidR="00724019" w:rsidRPr="00887B6D" w:rsidRDefault="00724019" w:rsidP="000436A6">
            <w:pPr>
              <w:ind w:left="227"/>
              <w:rPr>
                <w:rFonts w:ascii="Arial" w:hAnsi="Arial" w:cs="Arial"/>
                <w:sz w:val="20"/>
              </w:rPr>
            </w:pPr>
            <w:r w:rsidRPr="00887B6D">
              <w:rPr>
                <w:rFonts w:ascii="Arial" w:hAnsi="Arial" w:cs="Arial"/>
                <w:sz w:val="20"/>
              </w:rPr>
              <w:t>1.1. Council rates notice</w:t>
            </w:r>
          </w:p>
          <w:p w14:paraId="7400C19D" w14:textId="77777777" w:rsidR="00724019" w:rsidRPr="00887B6D" w:rsidRDefault="00724019" w:rsidP="000436A6">
            <w:pPr>
              <w:ind w:left="227"/>
              <w:rPr>
                <w:rFonts w:ascii="Arial" w:hAnsi="Arial" w:cs="Arial"/>
                <w:sz w:val="20"/>
              </w:rPr>
            </w:pPr>
            <w:r w:rsidRPr="00887B6D">
              <w:rPr>
                <w:rFonts w:ascii="Arial" w:hAnsi="Arial" w:cs="Arial"/>
                <w:sz w:val="20"/>
              </w:rPr>
              <w:t>1.2. Lease agreement through a registered real estate agent for a period of at least 6 months or rental board bond receipt</w:t>
            </w:r>
          </w:p>
          <w:p w14:paraId="5C10A00A" w14:textId="77777777" w:rsidR="00724019" w:rsidRDefault="00724019" w:rsidP="000436A6">
            <w:pPr>
              <w:ind w:left="227"/>
              <w:rPr>
                <w:rFonts w:ascii="Arial" w:hAnsi="Arial" w:cs="Arial"/>
                <w:sz w:val="20"/>
              </w:rPr>
            </w:pPr>
            <w:r w:rsidRPr="00887B6D">
              <w:rPr>
                <w:rFonts w:ascii="Arial" w:hAnsi="Arial" w:cs="Arial"/>
                <w:sz w:val="20"/>
              </w:rPr>
              <w:t>1.3. Exchanged contract of sale with settlement to occur within the applicable school year</w:t>
            </w:r>
          </w:p>
          <w:p w14:paraId="04D89127" w14:textId="77777777" w:rsidR="000436A6" w:rsidRPr="00887B6D" w:rsidRDefault="000436A6" w:rsidP="000436A6">
            <w:pPr>
              <w:ind w:left="227"/>
              <w:rPr>
                <w:rFonts w:ascii="Arial" w:hAnsi="Arial" w:cs="Arial"/>
                <w:sz w:val="20"/>
              </w:rPr>
            </w:pPr>
          </w:p>
        </w:tc>
        <w:tc>
          <w:tcPr>
            <w:tcW w:w="1389" w:type="dxa"/>
            <w:vAlign w:val="center"/>
          </w:tcPr>
          <w:p w14:paraId="03453FC4" w14:textId="77777777" w:rsidR="00724019" w:rsidRPr="00887B6D" w:rsidRDefault="00724019" w:rsidP="000436A6">
            <w:pPr>
              <w:rPr>
                <w:rFonts w:ascii="Arial" w:hAnsi="Arial" w:cs="Arial"/>
                <w:sz w:val="20"/>
              </w:rPr>
            </w:pPr>
            <w:r w:rsidRPr="00887B6D">
              <w:rPr>
                <w:rFonts w:ascii="Arial" w:hAnsi="Arial" w:cs="Arial"/>
                <w:sz w:val="20"/>
              </w:rPr>
              <w:t>40 each</w:t>
            </w:r>
          </w:p>
        </w:tc>
      </w:tr>
      <w:tr w:rsidR="00724019" w14:paraId="0D9E8C7E" w14:textId="77777777" w:rsidTr="000436A6">
        <w:tc>
          <w:tcPr>
            <w:tcW w:w="9067" w:type="dxa"/>
          </w:tcPr>
          <w:p w14:paraId="6A3C230A" w14:textId="77777777" w:rsidR="000436A6" w:rsidRDefault="000436A6" w:rsidP="00724019">
            <w:pPr>
              <w:rPr>
                <w:rFonts w:ascii="Arial" w:hAnsi="Arial" w:cs="Arial"/>
                <w:sz w:val="20"/>
              </w:rPr>
            </w:pPr>
          </w:p>
          <w:p w14:paraId="20191917" w14:textId="77777777" w:rsidR="00724019" w:rsidRPr="00887B6D" w:rsidRDefault="00724019" w:rsidP="00724019">
            <w:pPr>
              <w:rPr>
                <w:rFonts w:ascii="Arial" w:hAnsi="Arial" w:cs="Arial"/>
                <w:sz w:val="20"/>
              </w:rPr>
            </w:pPr>
            <w:r w:rsidRPr="00887B6D">
              <w:rPr>
                <w:rFonts w:ascii="Arial" w:hAnsi="Arial" w:cs="Arial"/>
                <w:sz w:val="20"/>
              </w:rPr>
              <w:t>2. Any of the following</w:t>
            </w:r>
          </w:p>
          <w:p w14:paraId="7DE454C1" w14:textId="77777777" w:rsidR="00724019" w:rsidRPr="00887B6D" w:rsidRDefault="00724019" w:rsidP="000436A6">
            <w:pPr>
              <w:ind w:left="227"/>
              <w:rPr>
                <w:rFonts w:ascii="Arial" w:hAnsi="Arial" w:cs="Arial"/>
                <w:sz w:val="20"/>
              </w:rPr>
            </w:pPr>
            <w:r w:rsidRPr="00887B6D">
              <w:rPr>
                <w:rFonts w:ascii="Arial" w:hAnsi="Arial" w:cs="Arial"/>
                <w:sz w:val="20"/>
              </w:rPr>
              <w:t>2.1. Private rental agreement for a period of at least 6 months</w:t>
            </w:r>
          </w:p>
          <w:p w14:paraId="3B94624E" w14:textId="77777777" w:rsidR="00724019" w:rsidRPr="00887B6D" w:rsidRDefault="00724019" w:rsidP="000436A6">
            <w:pPr>
              <w:ind w:left="227"/>
              <w:rPr>
                <w:rFonts w:ascii="Arial" w:hAnsi="Arial" w:cs="Arial"/>
                <w:sz w:val="20"/>
              </w:rPr>
            </w:pPr>
            <w:r w:rsidRPr="00887B6D">
              <w:rPr>
                <w:rFonts w:ascii="Arial" w:hAnsi="Arial" w:cs="Arial"/>
                <w:sz w:val="20"/>
              </w:rPr>
              <w:t>2.2. Centrelink payment statement showing home address</w:t>
            </w:r>
          </w:p>
          <w:p w14:paraId="468C1D48" w14:textId="77777777" w:rsidR="00724019" w:rsidRPr="00887B6D" w:rsidRDefault="00724019" w:rsidP="000436A6">
            <w:pPr>
              <w:ind w:left="227"/>
              <w:rPr>
                <w:rFonts w:ascii="Arial" w:hAnsi="Arial" w:cs="Arial"/>
                <w:sz w:val="20"/>
              </w:rPr>
            </w:pPr>
            <w:r w:rsidRPr="00887B6D">
              <w:rPr>
                <w:rFonts w:ascii="Arial" w:hAnsi="Arial" w:cs="Arial"/>
                <w:sz w:val="20"/>
              </w:rPr>
              <w:t>2.3. Electoral roll statement</w:t>
            </w:r>
          </w:p>
          <w:p w14:paraId="084C2FEC" w14:textId="77777777" w:rsidR="00724019" w:rsidRPr="00887B6D" w:rsidRDefault="00724019" w:rsidP="00724019">
            <w:pPr>
              <w:rPr>
                <w:rFonts w:ascii="Arial" w:hAnsi="Arial" w:cs="Arial"/>
                <w:sz w:val="20"/>
              </w:rPr>
            </w:pPr>
          </w:p>
        </w:tc>
        <w:tc>
          <w:tcPr>
            <w:tcW w:w="1389" w:type="dxa"/>
            <w:vAlign w:val="center"/>
          </w:tcPr>
          <w:p w14:paraId="6DD71F43" w14:textId="77777777" w:rsidR="00724019" w:rsidRPr="00887B6D" w:rsidRDefault="00724019" w:rsidP="000436A6">
            <w:pPr>
              <w:rPr>
                <w:rFonts w:ascii="Arial" w:hAnsi="Arial" w:cs="Arial"/>
                <w:sz w:val="20"/>
              </w:rPr>
            </w:pPr>
            <w:r w:rsidRPr="00887B6D">
              <w:rPr>
                <w:rFonts w:ascii="Arial" w:hAnsi="Arial" w:cs="Arial"/>
                <w:sz w:val="20"/>
              </w:rPr>
              <w:t>20 each</w:t>
            </w:r>
          </w:p>
          <w:p w14:paraId="70D745D2" w14:textId="77777777" w:rsidR="00724019" w:rsidRPr="00887B6D" w:rsidRDefault="00724019" w:rsidP="000436A6">
            <w:pPr>
              <w:rPr>
                <w:rFonts w:ascii="Arial" w:hAnsi="Arial" w:cs="Arial"/>
                <w:sz w:val="20"/>
              </w:rPr>
            </w:pPr>
          </w:p>
        </w:tc>
      </w:tr>
      <w:tr w:rsidR="00724019" w14:paraId="2BEF7B4B" w14:textId="77777777" w:rsidTr="000436A6">
        <w:tc>
          <w:tcPr>
            <w:tcW w:w="9067" w:type="dxa"/>
          </w:tcPr>
          <w:p w14:paraId="1680735A" w14:textId="77777777" w:rsidR="000436A6" w:rsidRDefault="000436A6" w:rsidP="00724019">
            <w:pPr>
              <w:rPr>
                <w:rFonts w:ascii="Arial" w:hAnsi="Arial" w:cs="Arial"/>
                <w:sz w:val="20"/>
              </w:rPr>
            </w:pPr>
          </w:p>
          <w:p w14:paraId="58D5F24D" w14:textId="77777777" w:rsidR="00724019" w:rsidRPr="00887B6D" w:rsidRDefault="00724019" w:rsidP="00724019">
            <w:pPr>
              <w:rPr>
                <w:rFonts w:ascii="Arial" w:hAnsi="Arial" w:cs="Arial"/>
                <w:sz w:val="20"/>
              </w:rPr>
            </w:pPr>
            <w:r w:rsidRPr="00887B6D">
              <w:rPr>
                <w:rFonts w:ascii="Arial" w:hAnsi="Arial" w:cs="Arial"/>
                <w:sz w:val="20"/>
              </w:rPr>
              <w:t>3. Any of the following documents</w:t>
            </w:r>
          </w:p>
          <w:p w14:paraId="22BD4D11" w14:textId="77777777" w:rsidR="00724019" w:rsidRPr="00887B6D" w:rsidRDefault="00724019" w:rsidP="000436A6">
            <w:pPr>
              <w:ind w:left="227"/>
              <w:rPr>
                <w:rFonts w:ascii="Arial" w:hAnsi="Arial" w:cs="Arial"/>
                <w:sz w:val="20"/>
              </w:rPr>
            </w:pPr>
            <w:r w:rsidRPr="00887B6D">
              <w:rPr>
                <w:rFonts w:ascii="Arial" w:hAnsi="Arial" w:cs="Arial"/>
                <w:sz w:val="20"/>
              </w:rPr>
              <w:t>3.1. Electricity or gas bill showing the service address*</w:t>
            </w:r>
          </w:p>
          <w:p w14:paraId="53423787" w14:textId="77777777" w:rsidR="00724019" w:rsidRPr="00887B6D" w:rsidRDefault="00724019" w:rsidP="000436A6">
            <w:pPr>
              <w:ind w:left="227"/>
              <w:rPr>
                <w:rFonts w:ascii="Arial" w:hAnsi="Arial" w:cs="Arial"/>
                <w:sz w:val="20"/>
              </w:rPr>
            </w:pPr>
            <w:r w:rsidRPr="00887B6D">
              <w:rPr>
                <w:rFonts w:ascii="Arial" w:hAnsi="Arial" w:cs="Arial"/>
                <w:sz w:val="20"/>
              </w:rPr>
              <w:t>3.2. Water bill showing the service address*</w:t>
            </w:r>
          </w:p>
          <w:p w14:paraId="2E591248" w14:textId="77777777" w:rsidR="00724019" w:rsidRPr="00887B6D" w:rsidRDefault="00724019" w:rsidP="000436A6">
            <w:pPr>
              <w:ind w:left="227"/>
              <w:rPr>
                <w:rFonts w:ascii="Arial" w:hAnsi="Arial" w:cs="Arial"/>
                <w:sz w:val="20"/>
              </w:rPr>
            </w:pPr>
            <w:r w:rsidRPr="00887B6D">
              <w:rPr>
                <w:rFonts w:ascii="Arial" w:hAnsi="Arial" w:cs="Arial"/>
                <w:sz w:val="20"/>
              </w:rPr>
              <w:t>3.3. Telephone or internet bill showing the service address*</w:t>
            </w:r>
          </w:p>
          <w:p w14:paraId="2A1F1EA3" w14:textId="77777777" w:rsidR="00724019" w:rsidRPr="00887B6D" w:rsidRDefault="00724019" w:rsidP="000436A6">
            <w:pPr>
              <w:ind w:left="227"/>
              <w:rPr>
                <w:rFonts w:ascii="Arial" w:hAnsi="Arial" w:cs="Arial"/>
                <w:sz w:val="20"/>
              </w:rPr>
            </w:pPr>
            <w:r w:rsidRPr="00887B6D">
              <w:rPr>
                <w:rFonts w:ascii="Arial" w:hAnsi="Arial" w:cs="Arial"/>
                <w:sz w:val="20"/>
              </w:rPr>
              <w:t>3.4. Drivers licence or government issued ID showing home address*</w:t>
            </w:r>
          </w:p>
          <w:p w14:paraId="06E71BD3" w14:textId="77777777" w:rsidR="00724019" w:rsidRPr="00887B6D" w:rsidRDefault="00724019" w:rsidP="000436A6">
            <w:pPr>
              <w:ind w:left="227"/>
              <w:rPr>
                <w:rFonts w:ascii="Arial" w:hAnsi="Arial" w:cs="Arial"/>
                <w:sz w:val="20"/>
              </w:rPr>
            </w:pPr>
            <w:r w:rsidRPr="00887B6D">
              <w:rPr>
                <w:rFonts w:ascii="Arial" w:hAnsi="Arial" w:cs="Arial"/>
                <w:sz w:val="20"/>
              </w:rPr>
              <w:t>3.5. Home building or home contents insurance showing the service address</w:t>
            </w:r>
          </w:p>
          <w:p w14:paraId="6B232180" w14:textId="77777777" w:rsidR="00724019" w:rsidRPr="00887B6D" w:rsidRDefault="00724019" w:rsidP="000436A6">
            <w:pPr>
              <w:ind w:left="227"/>
              <w:rPr>
                <w:rFonts w:ascii="Arial" w:hAnsi="Arial" w:cs="Arial"/>
                <w:sz w:val="20"/>
              </w:rPr>
            </w:pPr>
            <w:r w:rsidRPr="00887B6D">
              <w:rPr>
                <w:rFonts w:ascii="Arial" w:hAnsi="Arial" w:cs="Arial"/>
                <w:sz w:val="20"/>
              </w:rPr>
              <w:t xml:space="preserve">3.6. Motor vehicle registration or compulsory </w:t>
            </w:r>
            <w:proofErr w:type="gramStart"/>
            <w:r w:rsidRPr="00887B6D">
              <w:rPr>
                <w:rFonts w:ascii="Arial" w:hAnsi="Arial" w:cs="Arial"/>
                <w:sz w:val="20"/>
              </w:rPr>
              <w:t>third party</w:t>
            </w:r>
            <w:proofErr w:type="gramEnd"/>
            <w:r w:rsidRPr="00887B6D">
              <w:rPr>
                <w:rFonts w:ascii="Arial" w:hAnsi="Arial" w:cs="Arial"/>
                <w:sz w:val="20"/>
              </w:rPr>
              <w:t xml:space="preserve"> insurance policy showing home address</w:t>
            </w:r>
          </w:p>
          <w:p w14:paraId="3DC92004" w14:textId="77777777" w:rsidR="00724019" w:rsidRPr="00887B6D" w:rsidRDefault="00724019" w:rsidP="000436A6">
            <w:pPr>
              <w:ind w:left="227"/>
              <w:rPr>
                <w:rFonts w:ascii="Arial" w:hAnsi="Arial" w:cs="Arial"/>
                <w:sz w:val="20"/>
              </w:rPr>
            </w:pPr>
            <w:r w:rsidRPr="00887B6D">
              <w:rPr>
                <w:rFonts w:ascii="Arial" w:hAnsi="Arial" w:cs="Arial"/>
                <w:sz w:val="20"/>
              </w:rPr>
              <w:t>3.7. Statutory declaration stating the child’s residential address, how long they have lived there, and any supporting information or documentation of this</w:t>
            </w:r>
          </w:p>
          <w:p w14:paraId="67DDFE4F" w14:textId="77777777" w:rsidR="00724019" w:rsidRPr="00887B6D" w:rsidRDefault="00724019" w:rsidP="00724019">
            <w:pPr>
              <w:rPr>
                <w:rFonts w:ascii="Arial" w:hAnsi="Arial" w:cs="Arial"/>
                <w:sz w:val="20"/>
              </w:rPr>
            </w:pPr>
          </w:p>
        </w:tc>
        <w:tc>
          <w:tcPr>
            <w:tcW w:w="1389" w:type="dxa"/>
            <w:vAlign w:val="center"/>
          </w:tcPr>
          <w:p w14:paraId="4A721A21" w14:textId="77777777" w:rsidR="00724019" w:rsidRPr="00887B6D" w:rsidRDefault="00724019" w:rsidP="000436A6">
            <w:pPr>
              <w:rPr>
                <w:rFonts w:ascii="Arial" w:hAnsi="Arial" w:cs="Arial"/>
                <w:sz w:val="20"/>
              </w:rPr>
            </w:pPr>
            <w:r w:rsidRPr="00887B6D">
              <w:rPr>
                <w:rFonts w:ascii="Arial" w:hAnsi="Arial" w:cs="Arial"/>
                <w:sz w:val="20"/>
              </w:rPr>
              <w:t>15 each</w:t>
            </w:r>
          </w:p>
          <w:p w14:paraId="16614061" w14:textId="77777777" w:rsidR="00724019" w:rsidRPr="00887B6D" w:rsidRDefault="00724019" w:rsidP="000436A6">
            <w:pPr>
              <w:rPr>
                <w:rFonts w:ascii="Arial" w:hAnsi="Arial" w:cs="Arial"/>
                <w:sz w:val="20"/>
              </w:rPr>
            </w:pPr>
          </w:p>
        </w:tc>
      </w:tr>
    </w:tbl>
    <w:p w14:paraId="1D59AC9D" w14:textId="77777777" w:rsidR="00724019" w:rsidRPr="000436A6" w:rsidRDefault="00724019" w:rsidP="00724019">
      <w:pPr>
        <w:spacing w:after="0" w:line="240" w:lineRule="auto"/>
        <w:rPr>
          <w:rFonts w:ascii="Arial" w:hAnsi="Arial" w:cs="Arial"/>
          <w:sz w:val="20"/>
        </w:rPr>
      </w:pPr>
      <w:r w:rsidRPr="000436A6">
        <w:rPr>
          <w:rFonts w:ascii="Arial" w:hAnsi="Arial" w:cs="Arial"/>
          <w:sz w:val="20"/>
        </w:rPr>
        <w:t>* up to three months old</w:t>
      </w:r>
    </w:p>
    <w:p w14:paraId="143FB7A3" w14:textId="77777777" w:rsidR="00724019" w:rsidRDefault="00724019" w:rsidP="00724019">
      <w:pPr>
        <w:spacing w:after="0" w:line="240" w:lineRule="auto"/>
        <w:rPr>
          <w:rFonts w:ascii="Arial" w:hAnsi="Arial" w:cs="Arial"/>
        </w:rPr>
      </w:pPr>
    </w:p>
    <w:p w14:paraId="6B74AF52" w14:textId="77777777" w:rsidR="00303DA1" w:rsidRPr="00303DA1" w:rsidRDefault="00E77485" w:rsidP="00303DA1">
      <w:pPr>
        <w:spacing w:after="0" w:line="240" w:lineRule="auto"/>
        <w:rPr>
          <w:rFonts w:ascii="Arial" w:hAnsi="Arial" w:cs="Arial"/>
        </w:rPr>
      </w:pPr>
      <w:r w:rsidRPr="001F227A">
        <w:rPr>
          <w:rFonts w:ascii="Arial" w:hAnsi="Arial" w:cs="Arial"/>
          <w:color w:val="000000" w:themeColor="text1"/>
        </w:rPr>
        <w:t xml:space="preserve">In preparation for </w:t>
      </w:r>
      <w:r w:rsidR="007D2374" w:rsidRPr="001F227A">
        <w:rPr>
          <w:rFonts w:ascii="Arial" w:hAnsi="Arial" w:cs="Arial"/>
          <w:color w:val="000000" w:themeColor="text1"/>
        </w:rPr>
        <w:t xml:space="preserve">an </w:t>
      </w:r>
      <w:r w:rsidR="00303DA1" w:rsidRPr="001F227A">
        <w:rPr>
          <w:rFonts w:ascii="Arial" w:hAnsi="Arial" w:cs="Arial"/>
          <w:color w:val="000000" w:themeColor="text1"/>
        </w:rPr>
        <w:t xml:space="preserve">interview with the Campus enrolment coordinator, parents/guardians will be asked to complete and </w:t>
      </w:r>
      <w:r w:rsidRPr="001F227A">
        <w:rPr>
          <w:rFonts w:ascii="Arial" w:hAnsi="Arial" w:cs="Arial"/>
          <w:color w:val="000000" w:themeColor="text1"/>
        </w:rPr>
        <w:t xml:space="preserve">bring with them </w:t>
      </w:r>
      <w:r w:rsidR="00303DA1" w:rsidRPr="00303DA1">
        <w:rPr>
          <w:rFonts w:ascii="Arial" w:hAnsi="Arial" w:cs="Arial"/>
        </w:rPr>
        <w:t xml:space="preserve">an </w:t>
      </w:r>
      <w:hyperlink r:id="rId11" w:history="1">
        <w:r w:rsidR="00303DA1" w:rsidRPr="008C7BC4">
          <w:rPr>
            <w:rStyle w:val="Hyperlink"/>
            <w:rFonts w:ascii="Arial" w:hAnsi="Arial" w:cs="Arial"/>
          </w:rPr>
          <w:t>application to enrol in a NSW public school</w:t>
        </w:r>
      </w:hyperlink>
      <w:r w:rsidR="00303DA1" w:rsidRPr="00303DA1">
        <w:rPr>
          <w:rFonts w:ascii="Arial" w:hAnsi="Arial" w:cs="Arial"/>
        </w:rPr>
        <w:t xml:space="preserve">. Parents/guardians will be notified of the result of the </w:t>
      </w:r>
      <w:r w:rsidR="00303DA1" w:rsidRPr="001F227A">
        <w:rPr>
          <w:rFonts w:ascii="Arial" w:hAnsi="Arial" w:cs="Arial"/>
          <w:color w:val="000000" w:themeColor="text1"/>
        </w:rPr>
        <w:t>application</w:t>
      </w:r>
      <w:r w:rsidRPr="001F227A">
        <w:rPr>
          <w:rFonts w:ascii="Arial" w:hAnsi="Arial" w:cs="Arial"/>
          <w:color w:val="000000" w:themeColor="text1"/>
        </w:rPr>
        <w:t xml:space="preserve"> immediately following the interview.</w:t>
      </w:r>
      <w:r w:rsidR="00303DA1" w:rsidRPr="001F227A">
        <w:rPr>
          <w:rFonts w:ascii="Arial" w:hAnsi="Arial" w:cs="Arial"/>
          <w:color w:val="000000" w:themeColor="text1"/>
        </w:rPr>
        <w:t xml:space="preserve"> </w:t>
      </w:r>
    </w:p>
    <w:p w14:paraId="7676C516" w14:textId="77777777" w:rsidR="00303DA1" w:rsidRPr="00303DA1" w:rsidRDefault="00303DA1" w:rsidP="00303DA1">
      <w:pPr>
        <w:spacing w:after="0" w:line="240" w:lineRule="auto"/>
        <w:rPr>
          <w:rFonts w:ascii="Arial" w:hAnsi="Arial" w:cs="Arial"/>
        </w:rPr>
      </w:pPr>
    </w:p>
    <w:p w14:paraId="4573D733" w14:textId="77777777" w:rsidR="0005790A" w:rsidRDefault="00303DA1" w:rsidP="00303DA1">
      <w:pPr>
        <w:spacing w:after="0" w:line="240" w:lineRule="auto"/>
        <w:rPr>
          <w:rFonts w:ascii="Arial" w:hAnsi="Arial" w:cs="Arial"/>
        </w:rPr>
      </w:pPr>
      <w:r w:rsidRPr="00303DA1">
        <w:rPr>
          <w:rFonts w:ascii="Arial" w:hAnsi="Arial" w:cs="Arial"/>
        </w:rPr>
        <w:t xml:space="preserve">Applications for enrolment are lodged with the Campus at which the parent/guardian is seeking enrolment. Enrolment forms may be accessed at any government school or </w:t>
      </w:r>
      <w:r w:rsidR="0005790A">
        <w:rPr>
          <w:rFonts w:ascii="Arial" w:hAnsi="Arial" w:cs="Arial"/>
        </w:rPr>
        <w:t xml:space="preserve">through this </w:t>
      </w:r>
      <w:hyperlink r:id="rId12" w:history="1">
        <w:r w:rsidR="0005790A" w:rsidRPr="0005790A">
          <w:rPr>
            <w:rStyle w:val="Hyperlink"/>
            <w:rFonts w:ascii="Arial" w:hAnsi="Arial" w:cs="Arial"/>
          </w:rPr>
          <w:t>link.</w:t>
        </w:r>
      </w:hyperlink>
    </w:p>
    <w:p w14:paraId="0813A343" w14:textId="77777777" w:rsidR="0005790A" w:rsidRDefault="0005790A" w:rsidP="00303DA1">
      <w:pPr>
        <w:spacing w:after="0" w:line="240" w:lineRule="auto"/>
        <w:rPr>
          <w:rFonts w:ascii="Arial" w:hAnsi="Arial" w:cs="Arial"/>
          <w:b/>
        </w:rPr>
      </w:pPr>
    </w:p>
    <w:p w14:paraId="746AEBBF" w14:textId="77777777" w:rsidR="00303DA1" w:rsidRPr="00724019" w:rsidRDefault="00303DA1" w:rsidP="0005790A">
      <w:pPr>
        <w:shd w:val="clear" w:color="auto" w:fill="D9E2F3" w:themeFill="accent1" w:themeFillTint="33"/>
        <w:spacing w:after="0" w:line="240" w:lineRule="auto"/>
        <w:rPr>
          <w:rFonts w:ascii="Arial" w:hAnsi="Arial" w:cs="Arial"/>
          <w:b/>
        </w:rPr>
      </w:pPr>
      <w:r w:rsidRPr="00724019">
        <w:rPr>
          <w:rFonts w:ascii="Arial" w:hAnsi="Arial" w:cs="Arial"/>
          <w:b/>
        </w:rPr>
        <w:t xml:space="preserve">Students </w:t>
      </w:r>
      <w:r w:rsidRPr="00053BA7">
        <w:rPr>
          <w:rFonts w:ascii="Arial" w:hAnsi="Arial" w:cs="Arial"/>
          <w:b/>
          <w:u w:val="single"/>
        </w:rPr>
        <w:t>not living within the designated</w:t>
      </w:r>
      <w:r w:rsidRPr="00724019">
        <w:rPr>
          <w:rFonts w:ascii="Arial" w:hAnsi="Arial" w:cs="Arial"/>
          <w:b/>
        </w:rPr>
        <w:t xml:space="preserve"> drawing area</w:t>
      </w:r>
    </w:p>
    <w:p w14:paraId="44E2F73F" w14:textId="77777777" w:rsidR="00724019" w:rsidRDefault="00724019" w:rsidP="00303DA1">
      <w:pPr>
        <w:spacing w:after="0" w:line="240" w:lineRule="auto"/>
        <w:rPr>
          <w:rFonts w:ascii="Arial" w:hAnsi="Arial" w:cs="Arial"/>
        </w:rPr>
      </w:pPr>
    </w:p>
    <w:p w14:paraId="52340546" w14:textId="77777777" w:rsidR="001F227A" w:rsidRDefault="00724019" w:rsidP="00724019">
      <w:pPr>
        <w:spacing w:after="0" w:line="240" w:lineRule="auto"/>
        <w:rPr>
          <w:rFonts w:ascii="Arial" w:hAnsi="Arial" w:cs="Arial"/>
        </w:rPr>
      </w:pPr>
      <w:r w:rsidRPr="00724019">
        <w:rPr>
          <w:rFonts w:ascii="Arial" w:hAnsi="Arial" w:cs="Arial"/>
        </w:rPr>
        <w:t xml:space="preserve">Non-local enrolment applications are only considered by schools that can accommodate the child </w:t>
      </w:r>
      <w:r w:rsidR="001F227A">
        <w:rPr>
          <w:rFonts w:ascii="Arial" w:hAnsi="Arial" w:cs="Arial"/>
        </w:rPr>
        <w:t>within their enrolment cap</w:t>
      </w:r>
      <w:r w:rsidRPr="00724019">
        <w:rPr>
          <w:rFonts w:ascii="Arial" w:hAnsi="Arial" w:cs="Arial"/>
        </w:rPr>
        <w:t xml:space="preserve">. </w:t>
      </w:r>
    </w:p>
    <w:p w14:paraId="30BB4305" w14:textId="77777777" w:rsidR="001F227A" w:rsidRDefault="001F227A" w:rsidP="001F227A">
      <w:pPr>
        <w:spacing w:after="0" w:line="240" w:lineRule="auto"/>
        <w:rPr>
          <w:rFonts w:ascii="Arial" w:hAnsi="Arial" w:cs="Arial"/>
        </w:rPr>
      </w:pPr>
    </w:p>
    <w:p w14:paraId="1B06E292" w14:textId="77777777" w:rsidR="001F227A" w:rsidRPr="00047A7C" w:rsidRDefault="001F227A" w:rsidP="001F227A">
      <w:pPr>
        <w:spacing w:after="0" w:line="240" w:lineRule="auto"/>
        <w:rPr>
          <w:rFonts w:ascii="Arial" w:hAnsi="Arial" w:cs="Arial"/>
        </w:rPr>
      </w:pPr>
      <w:r w:rsidRPr="00047A7C">
        <w:rPr>
          <w:rFonts w:ascii="Arial" w:hAnsi="Arial" w:cs="Arial"/>
        </w:rPr>
        <w:t>An enrolment cap for a</w:t>
      </w:r>
      <w:r>
        <w:rPr>
          <w:rFonts w:ascii="Arial" w:hAnsi="Arial" w:cs="Arial"/>
        </w:rPr>
        <w:t>ll government</w:t>
      </w:r>
      <w:r w:rsidRPr="00047A7C">
        <w:rPr>
          <w:rFonts w:ascii="Arial" w:hAnsi="Arial" w:cs="Arial"/>
        </w:rPr>
        <w:t xml:space="preserve"> school</w:t>
      </w:r>
      <w:r>
        <w:rPr>
          <w:rFonts w:ascii="Arial" w:hAnsi="Arial" w:cs="Arial"/>
        </w:rPr>
        <w:t>s</w:t>
      </w:r>
      <w:r w:rsidRPr="00047A7C">
        <w:rPr>
          <w:rFonts w:ascii="Arial" w:hAnsi="Arial" w:cs="Arial"/>
        </w:rPr>
        <w:t xml:space="preserve"> is established centrally, based on available permanent accommodation.</w:t>
      </w:r>
      <w:r>
        <w:t xml:space="preserve"> </w:t>
      </w:r>
      <w:r w:rsidRPr="00047A7C">
        <w:rPr>
          <w:rFonts w:ascii="Arial" w:hAnsi="Arial" w:cs="Arial"/>
        </w:rPr>
        <w:t xml:space="preserve">Within the enrolment cap, </w:t>
      </w:r>
      <w:proofErr w:type="gramStart"/>
      <w:r w:rsidRPr="00047A7C">
        <w:rPr>
          <w:rFonts w:ascii="Arial" w:hAnsi="Arial" w:cs="Arial"/>
        </w:rPr>
        <w:t>a number of</w:t>
      </w:r>
      <w:proofErr w:type="gramEnd"/>
      <w:r w:rsidRPr="00047A7C">
        <w:rPr>
          <w:rFonts w:ascii="Arial" w:hAnsi="Arial" w:cs="Arial"/>
        </w:rPr>
        <w:t xml:space="preserve"> enrolment places (the buffer) must be set aside for the enrolment of local students arriving throughout the year</w:t>
      </w:r>
      <w:r>
        <w:rPr>
          <w:rFonts w:ascii="Arial" w:hAnsi="Arial" w:cs="Arial"/>
        </w:rPr>
        <w:t xml:space="preserve">. </w:t>
      </w:r>
      <w:r w:rsidRPr="00047A7C">
        <w:rPr>
          <w:rFonts w:ascii="Arial" w:hAnsi="Arial" w:cs="Arial"/>
        </w:rPr>
        <w:t xml:space="preserve">Places in the local enrolment buffer </w:t>
      </w:r>
      <w:r>
        <w:rPr>
          <w:rFonts w:ascii="Arial" w:hAnsi="Arial" w:cs="Arial"/>
        </w:rPr>
        <w:t>cannot</w:t>
      </w:r>
      <w:r w:rsidRPr="00047A7C">
        <w:rPr>
          <w:rFonts w:ascii="Arial" w:hAnsi="Arial" w:cs="Arial"/>
        </w:rPr>
        <w:t xml:space="preserve"> be offered to non-local students.</w:t>
      </w:r>
    </w:p>
    <w:p w14:paraId="722EC703" w14:textId="77777777" w:rsidR="001F227A" w:rsidRDefault="001F227A" w:rsidP="00724019">
      <w:pPr>
        <w:spacing w:after="0" w:line="240" w:lineRule="auto"/>
        <w:rPr>
          <w:rFonts w:ascii="Arial" w:hAnsi="Arial" w:cs="Arial"/>
        </w:rPr>
      </w:pPr>
    </w:p>
    <w:p w14:paraId="0795C557" w14:textId="77777777" w:rsidR="00724019" w:rsidRPr="00724019" w:rsidRDefault="001F227A" w:rsidP="00724019">
      <w:pPr>
        <w:spacing w:after="0" w:line="240" w:lineRule="auto"/>
        <w:rPr>
          <w:rFonts w:ascii="Arial" w:hAnsi="Arial" w:cs="Arial"/>
        </w:rPr>
      </w:pPr>
      <w:r>
        <w:rPr>
          <w:rFonts w:ascii="Arial" w:hAnsi="Arial" w:cs="Arial"/>
        </w:rPr>
        <w:t xml:space="preserve">Once the enrolment cap and buffer </w:t>
      </w:r>
      <w:proofErr w:type="gramStart"/>
      <w:r>
        <w:rPr>
          <w:rFonts w:ascii="Arial" w:hAnsi="Arial" w:cs="Arial"/>
        </w:rPr>
        <w:t>is</w:t>
      </w:r>
      <w:proofErr w:type="gramEnd"/>
      <w:r>
        <w:rPr>
          <w:rFonts w:ascii="Arial" w:hAnsi="Arial" w:cs="Arial"/>
        </w:rPr>
        <w:t xml:space="preserve"> known a school may have spaces available to non-local students. The principal can then consider enrolment using the following:</w:t>
      </w:r>
    </w:p>
    <w:p w14:paraId="17C048D7" w14:textId="77777777" w:rsidR="00724019" w:rsidRDefault="00724019" w:rsidP="00724019">
      <w:pPr>
        <w:spacing w:after="0" w:line="240" w:lineRule="auto"/>
        <w:rPr>
          <w:rFonts w:ascii="Arial" w:hAnsi="Arial" w:cs="Arial"/>
        </w:rPr>
      </w:pPr>
    </w:p>
    <w:p w14:paraId="46B7165A" w14:textId="77777777" w:rsidR="00303DA1" w:rsidRPr="00303DA1" w:rsidRDefault="00303DA1" w:rsidP="00303DA1">
      <w:pPr>
        <w:spacing w:after="0" w:line="240" w:lineRule="auto"/>
        <w:rPr>
          <w:rFonts w:ascii="Arial" w:hAnsi="Arial" w:cs="Arial"/>
        </w:rPr>
      </w:pPr>
      <w:r w:rsidRPr="00303DA1">
        <w:rPr>
          <w:rFonts w:ascii="Arial" w:hAnsi="Arial" w:cs="Arial"/>
        </w:rPr>
        <w:t>Criteria for non-local placement include:</w:t>
      </w:r>
    </w:p>
    <w:p w14:paraId="78E16803" w14:textId="77777777" w:rsidR="00047A7C" w:rsidRPr="00047A7C" w:rsidRDefault="00047A7C" w:rsidP="00047A7C">
      <w:pPr>
        <w:pStyle w:val="ListParagraph"/>
        <w:numPr>
          <w:ilvl w:val="0"/>
          <w:numId w:val="3"/>
        </w:numPr>
        <w:spacing w:after="0" w:line="240" w:lineRule="auto"/>
        <w:rPr>
          <w:rFonts w:ascii="Arial" w:hAnsi="Arial" w:cs="Arial"/>
        </w:rPr>
      </w:pPr>
      <w:r w:rsidRPr="00047A7C">
        <w:rPr>
          <w:rFonts w:ascii="Arial" w:hAnsi="Arial" w:cs="Arial"/>
        </w:rPr>
        <w:t>siblings already enrolled at the school</w:t>
      </w:r>
    </w:p>
    <w:p w14:paraId="7A603BD0" w14:textId="77777777" w:rsidR="00047A7C" w:rsidRDefault="00047A7C" w:rsidP="00047A7C">
      <w:pPr>
        <w:pStyle w:val="ListParagraph"/>
        <w:numPr>
          <w:ilvl w:val="0"/>
          <w:numId w:val="3"/>
        </w:numPr>
        <w:spacing w:after="0" w:line="240" w:lineRule="auto"/>
        <w:rPr>
          <w:rFonts w:ascii="Arial" w:hAnsi="Arial" w:cs="Arial"/>
        </w:rPr>
      </w:pPr>
      <w:r w:rsidRPr="00047A7C">
        <w:rPr>
          <w:rFonts w:ascii="Arial" w:hAnsi="Arial" w:cs="Arial"/>
        </w:rPr>
        <w:t xml:space="preserve">proximity and access to the school </w:t>
      </w:r>
    </w:p>
    <w:p w14:paraId="58E39D29" w14:textId="77777777" w:rsidR="00047A7C" w:rsidRDefault="00047A7C" w:rsidP="00047A7C">
      <w:pPr>
        <w:pStyle w:val="ListParagraph"/>
        <w:numPr>
          <w:ilvl w:val="0"/>
          <w:numId w:val="3"/>
        </w:numPr>
        <w:spacing w:after="0" w:line="240" w:lineRule="auto"/>
        <w:rPr>
          <w:rFonts w:ascii="Arial" w:hAnsi="Arial" w:cs="Arial"/>
        </w:rPr>
      </w:pPr>
      <w:r w:rsidRPr="00047A7C">
        <w:rPr>
          <w:rFonts w:ascii="Arial" w:hAnsi="Arial" w:cs="Arial"/>
        </w:rPr>
        <w:t>availability of subjects or combinations of subjects</w:t>
      </w:r>
    </w:p>
    <w:p w14:paraId="2F111ED0" w14:textId="77777777" w:rsidR="00053BA7" w:rsidRPr="001F227A" w:rsidRDefault="00053BA7" w:rsidP="001F227A">
      <w:pPr>
        <w:pStyle w:val="ListParagraph"/>
        <w:numPr>
          <w:ilvl w:val="0"/>
          <w:numId w:val="3"/>
        </w:numPr>
        <w:spacing w:after="0" w:line="240" w:lineRule="auto"/>
        <w:rPr>
          <w:rFonts w:ascii="Arial" w:hAnsi="Arial" w:cs="Arial"/>
          <w:color w:val="000000" w:themeColor="text1"/>
        </w:rPr>
      </w:pPr>
      <w:r>
        <w:rPr>
          <w:rFonts w:ascii="Arial" w:hAnsi="Arial" w:cs="Arial"/>
        </w:rPr>
        <w:t>compassionate circumstances</w:t>
      </w:r>
      <w:r w:rsidR="004D3F7D">
        <w:rPr>
          <w:rFonts w:ascii="Arial" w:hAnsi="Arial" w:cs="Arial"/>
        </w:rPr>
        <w:t xml:space="preserve"> </w:t>
      </w:r>
      <w:r w:rsidR="004D3F7D" w:rsidRPr="001F227A">
        <w:rPr>
          <w:rFonts w:ascii="Arial" w:hAnsi="Arial" w:cs="Arial"/>
          <w:color w:val="000000" w:themeColor="text1"/>
        </w:rPr>
        <w:t>including medical reasons</w:t>
      </w:r>
    </w:p>
    <w:p w14:paraId="3ED7E123" w14:textId="77777777" w:rsidR="00053BA7" w:rsidRPr="008C7BC4" w:rsidRDefault="00053BA7" w:rsidP="00047A7C">
      <w:pPr>
        <w:pStyle w:val="ListParagraph"/>
        <w:numPr>
          <w:ilvl w:val="0"/>
          <w:numId w:val="3"/>
        </w:numPr>
        <w:spacing w:after="0" w:line="240" w:lineRule="auto"/>
        <w:rPr>
          <w:rFonts w:ascii="Arial" w:hAnsi="Arial" w:cs="Arial"/>
        </w:rPr>
      </w:pPr>
      <w:r>
        <w:rPr>
          <w:rFonts w:ascii="Arial" w:hAnsi="Arial" w:cs="Arial"/>
        </w:rPr>
        <w:t>recent change in the local intake area boundaries</w:t>
      </w:r>
    </w:p>
    <w:p w14:paraId="7AE4D1CE" w14:textId="77777777" w:rsidR="00047A7C" w:rsidRPr="00303DA1" w:rsidRDefault="00047A7C" w:rsidP="00303DA1">
      <w:pPr>
        <w:spacing w:after="0" w:line="240" w:lineRule="auto"/>
        <w:rPr>
          <w:rFonts w:ascii="Arial" w:hAnsi="Arial" w:cs="Arial"/>
        </w:rPr>
      </w:pPr>
    </w:p>
    <w:p w14:paraId="3751C0BA" w14:textId="77777777" w:rsidR="00053BA7" w:rsidRDefault="00053BA7" w:rsidP="00047A7C">
      <w:pPr>
        <w:spacing w:after="0" w:line="240" w:lineRule="auto"/>
        <w:rPr>
          <w:rFonts w:ascii="Arial" w:hAnsi="Arial" w:cs="Arial"/>
        </w:rPr>
      </w:pPr>
      <w:r w:rsidRPr="001F227A">
        <w:rPr>
          <w:rFonts w:ascii="Arial" w:hAnsi="Arial" w:cs="Arial"/>
          <w:color w:val="000000" w:themeColor="text1"/>
        </w:rPr>
        <w:t xml:space="preserve">Criteria </w:t>
      </w:r>
      <w:r w:rsidR="00CB4080" w:rsidRPr="001F227A">
        <w:rPr>
          <w:rFonts w:ascii="Arial" w:hAnsi="Arial" w:cs="Arial"/>
          <w:color w:val="000000" w:themeColor="text1"/>
        </w:rPr>
        <w:t xml:space="preserve">(for </w:t>
      </w:r>
      <w:r w:rsidR="004D3F7D" w:rsidRPr="001F227A">
        <w:rPr>
          <w:rFonts w:ascii="Arial" w:hAnsi="Arial" w:cs="Arial"/>
          <w:color w:val="000000" w:themeColor="text1"/>
        </w:rPr>
        <w:t>non-selective</w:t>
      </w:r>
      <w:r w:rsidR="00CB4080" w:rsidRPr="001F227A">
        <w:rPr>
          <w:rFonts w:ascii="Arial" w:hAnsi="Arial" w:cs="Arial"/>
          <w:color w:val="000000" w:themeColor="text1"/>
        </w:rPr>
        <w:t xml:space="preserve"> classes) </w:t>
      </w:r>
      <w:r>
        <w:rPr>
          <w:rFonts w:ascii="Arial" w:hAnsi="Arial" w:cs="Arial"/>
        </w:rPr>
        <w:t>will not include:</w:t>
      </w:r>
    </w:p>
    <w:p w14:paraId="565B60D5" w14:textId="77777777" w:rsidR="00053BA7" w:rsidRDefault="00053BA7" w:rsidP="00053BA7">
      <w:pPr>
        <w:pStyle w:val="ListParagraph"/>
        <w:numPr>
          <w:ilvl w:val="0"/>
          <w:numId w:val="6"/>
        </w:numPr>
        <w:spacing w:after="0" w:line="240" w:lineRule="auto"/>
        <w:rPr>
          <w:rFonts w:ascii="Arial" w:hAnsi="Arial" w:cs="Arial"/>
        </w:rPr>
      </w:pPr>
      <w:r>
        <w:rPr>
          <w:rFonts w:ascii="Arial" w:hAnsi="Arial" w:cs="Arial"/>
        </w:rPr>
        <w:t xml:space="preserve">student ability, </w:t>
      </w:r>
      <w:proofErr w:type="gramStart"/>
      <w:r>
        <w:rPr>
          <w:rFonts w:ascii="Arial" w:hAnsi="Arial" w:cs="Arial"/>
        </w:rPr>
        <w:t>performance</w:t>
      </w:r>
      <w:proofErr w:type="gramEnd"/>
      <w:r>
        <w:rPr>
          <w:rFonts w:ascii="Arial" w:hAnsi="Arial" w:cs="Arial"/>
        </w:rPr>
        <w:t xml:space="preserve"> or achievement</w:t>
      </w:r>
    </w:p>
    <w:p w14:paraId="0A9EAD3D" w14:textId="77777777" w:rsidR="00053BA7" w:rsidRDefault="00053BA7" w:rsidP="00053BA7">
      <w:pPr>
        <w:spacing w:after="0" w:line="240" w:lineRule="auto"/>
        <w:rPr>
          <w:rFonts w:ascii="Arial" w:hAnsi="Arial" w:cs="Arial"/>
        </w:rPr>
      </w:pPr>
    </w:p>
    <w:p w14:paraId="0468B92F" w14:textId="77777777" w:rsidR="00053BA7" w:rsidRPr="00053BA7" w:rsidRDefault="00053BA7" w:rsidP="00053BA7">
      <w:pPr>
        <w:pStyle w:val="ListParagraph"/>
        <w:spacing w:after="0" w:line="240" w:lineRule="auto"/>
        <w:ind w:left="360"/>
        <w:rPr>
          <w:rFonts w:ascii="Arial" w:hAnsi="Arial" w:cs="Arial"/>
        </w:rPr>
      </w:pPr>
    </w:p>
    <w:p w14:paraId="4094E025" w14:textId="77777777" w:rsidR="00303DA1" w:rsidRPr="00053BA7" w:rsidRDefault="00303DA1" w:rsidP="00053BA7">
      <w:pPr>
        <w:spacing w:after="0" w:line="240" w:lineRule="auto"/>
        <w:rPr>
          <w:rFonts w:ascii="Arial" w:hAnsi="Arial" w:cs="Arial"/>
        </w:rPr>
      </w:pPr>
      <w:r w:rsidRPr="00053BA7">
        <w:rPr>
          <w:rFonts w:ascii="Arial" w:hAnsi="Arial" w:cs="Arial"/>
        </w:rPr>
        <w:lastRenderedPageBreak/>
        <w:t>Each campus will establish a</w:t>
      </w:r>
      <w:r w:rsidR="00047A7C" w:rsidRPr="00053BA7">
        <w:rPr>
          <w:rFonts w:ascii="Arial" w:hAnsi="Arial" w:cs="Arial"/>
        </w:rPr>
        <w:t>n enrolment panel.</w:t>
      </w:r>
      <w:r w:rsidR="00047A7C" w:rsidRPr="00047A7C">
        <w:t xml:space="preserve"> </w:t>
      </w:r>
      <w:r w:rsidR="00047A7C" w:rsidRPr="00053BA7">
        <w:rPr>
          <w:rFonts w:ascii="Arial" w:hAnsi="Arial" w:cs="Arial"/>
        </w:rPr>
        <w:t>The composition of the enrolment panel will consist of one executive staff member to chair the panel and at least one teaching staff member nominated by the principal</w:t>
      </w:r>
      <w:r w:rsidR="004D3F7D">
        <w:rPr>
          <w:rFonts w:ascii="Arial" w:hAnsi="Arial" w:cs="Arial"/>
        </w:rPr>
        <w:t xml:space="preserve"> </w:t>
      </w:r>
      <w:r w:rsidR="00047A7C" w:rsidRPr="00053BA7">
        <w:rPr>
          <w:rFonts w:ascii="Arial" w:hAnsi="Arial" w:cs="Arial"/>
        </w:rPr>
        <w:t xml:space="preserve">and one school community member nominated by campus’ P&amp;C. </w:t>
      </w:r>
    </w:p>
    <w:p w14:paraId="2A67BB64" w14:textId="77777777" w:rsidR="00303DA1" w:rsidRPr="00303DA1" w:rsidRDefault="00303DA1" w:rsidP="00303DA1">
      <w:pPr>
        <w:spacing w:after="0" w:line="240" w:lineRule="auto"/>
        <w:rPr>
          <w:rFonts w:ascii="Arial" w:hAnsi="Arial" w:cs="Arial"/>
        </w:rPr>
      </w:pPr>
    </w:p>
    <w:p w14:paraId="688CBDE6" w14:textId="77777777" w:rsidR="00303DA1" w:rsidRDefault="00303DA1" w:rsidP="00303DA1">
      <w:pPr>
        <w:spacing w:after="0" w:line="240" w:lineRule="auto"/>
        <w:rPr>
          <w:rFonts w:ascii="Arial" w:hAnsi="Arial" w:cs="Arial"/>
        </w:rPr>
      </w:pPr>
      <w:r w:rsidRPr="00303DA1">
        <w:rPr>
          <w:rFonts w:ascii="Arial" w:hAnsi="Arial" w:cs="Arial"/>
        </w:rPr>
        <w:t>Students enrolled in Balmain and Leichhardt Campuses have priority placement in Year 11 at Blackwattle Bay Campus. Enrolment into Year 12 will only be accepted in exceptional circumstances.</w:t>
      </w:r>
    </w:p>
    <w:p w14:paraId="7A5E00D6" w14:textId="77777777" w:rsidR="00047A7C" w:rsidRDefault="00047A7C" w:rsidP="00303DA1">
      <w:pPr>
        <w:spacing w:after="0" w:line="240" w:lineRule="auto"/>
        <w:rPr>
          <w:rFonts w:ascii="Arial" w:hAnsi="Arial" w:cs="Arial"/>
        </w:rPr>
      </w:pPr>
    </w:p>
    <w:p w14:paraId="0352FB3F" w14:textId="77777777" w:rsidR="00047A7C" w:rsidRPr="00303DA1" w:rsidRDefault="00047A7C" w:rsidP="00303DA1">
      <w:pPr>
        <w:spacing w:after="0" w:line="240" w:lineRule="auto"/>
        <w:rPr>
          <w:rFonts w:ascii="Arial" w:hAnsi="Arial" w:cs="Arial"/>
        </w:rPr>
      </w:pPr>
      <w:r w:rsidRPr="00047A7C">
        <w:rPr>
          <w:rFonts w:ascii="Arial" w:hAnsi="Arial" w:cs="Arial"/>
        </w:rPr>
        <w:t>The school will notify parents of the result of their application. Parents may request a written explanation of the decisions of the panel.</w:t>
      </w:r>
    </w:p>
    <w:p w14:paraId="217D49C6" w14:textId="77777777" w:rsidR="00303DA1" w:rsidRDefault="00303DA1" w:rsidP="00303DA1">
      <w:pPr>
        <w:spacing w:after="0" w:line="240" w:lineRule="auto"/>
        <w:rPr>
          <w:rFonts w:ascii="Arial" w:hAnsi="Arial" w:cs="Arial"/>
        </w:rPr>
      </w:pPr>
    </w:p>
    <w:p w14:paraId="5E83F903" w14:textId="77777777" w:rsidR="00047A7C" w:rsidRDefault="00047A7C" w:rsidP="00303DA1">
      <w:pPr>
        <w:spacing w:after="0" w:line="240" w:lineRule="auto"/>
        <w:rPr>
          <w:rFonts w:ascii="Arial" w:hAnsi="Arial" w:cs="Arial"/>
        </w:rPr>
      </w:pPr>
      <w:r w:rsidRPr="00047A7C">
        <w:rPr>
          <w:rFonts w:ascii="Arial" w:hAnsi="Arial" w:cs="Arial"/>
        </w:rPr>
        <w:t xml:space="preserve">A waiting list may be created for non-local students who are not offered enrolment. Any waiting list created will remain valid during the current intake period only. The waiting list is determined by the enrolment panel. Parents are advised in writing if their child is to be placed on a waiting list and </w:t>
      </w:r>
      <w:r w:rsidR="008C7BC4">
        <w:rPr>
          <w:rFonts w:ascii="Arial" w:hAnsi="Arial" w:cs="Arial"/>
        </w:rPr>
        <w:t>their</w:t>
      </w:r>
      <w:r w:rsidRPr="00047A7C">
        <w:rPr>
          <w:rFonts w:ascii="Arial" w:hAnsi="Arial" w:cs="Arial"/>
        </w:rPr>
        <w:t xml:space="preserve"> position on it.</w:t>
      </w:r>
    </w:p>
    <w:p w14:paraId="07F4CEE5" w14:textId="77777777" w:rsidR="00047A7C" w:rsidRPr="00303DA1" w:rsidRDefault="00047A7C" w:rsidP="00303DA1">
      <w:pPr>
        <w:spacing w:after="0" w:line="240" w:lineRule="auto"/>
        <w:rPr>
          <w:rFonts w:ascii="Arial" w:hAnsi="Arial" w:cs="Arial"/>
        </w:rPr>
      </w:pPr>
    </w:p>
    <w:p w14:paraId="55B1E2C2" w14:textId="77777777" w:rsidR="00303DA1" w:rsidRDefault="00303DA1" w:rsidP="0005790A">
      <w:pPr>
        <w:shd w:val="clear" w:color="auto" w:fill="D9E2F3" w:themeFill="accent1" w:themeFillTint="33"/>
        <w:spacing w:after="0" w:line="240" w:lineRule="auto"/>
        <w:rPr>
          <w:rFonts w:ascii="Arial" w:hAnsi="Arial" w:cs="Arial"/>
          <w:b/>
        </w:rPr>
      </w:pPr>
      <w:r w:rsidRPr="00047A7C">
        <w:rPr>
          <w:rFonts w:ascii="Arial" w:hAnsi="Arial" w:cs="Arial"/>
          <w:b/>
        </w:rPr>
        <w:t xml:space="preserve">Selective enrolments Years 7 </w:t>
      </w:r>
      <w:r w:rsidR="00047A7C">
        <w:rPr>
          <w:rFonts w:ascii="Arial" w:hAnsi="Arial" w:cs="Arial"/>
          <w:b/>
        </w:rPr>
        <w:t>–</w:t>
      </w:r>
      <w:r w:rsidRPr="00047A7C">
        <w:rPr>
          <w:rFonts w:ascii="Arial" w:hAnsi="Arial" w:cs="Arial"/>
          <w:b/>
        </w:rPr>
        <w:t xml:space="preserve"> 12</w:t>
      </w:r>
    </w:p>
    <w:p w14:paraId="245515D4" w14:textId="77777777" w:rsidR="00047A7C" w:rsidRPr="00047A7C" w:rsidRDefault="00047A7C" w:rsidP="00303DA1">
      <w:pPr>
        <w:spacing w:after="0" w:line="240" w:lineRule="auto"/>
        <w:rPr>
          <w:rFonts w:ascii="Arial" w:hAnsi="Arial" w:cs="Arial"/>
          <w:b/>
        </w:rPr>
      </w:pPr>
    </w:p>
    <w:p w14:paraId="6F332853" w14:textId="77777777" w:rsidR="00887B6D" w:rsidRDefault="00887B6D" w:rsidP="00303DA1">
      <w:pPr>
        <w:spacing w:after="0" w:line="240" w:lineRule="auto"/>
        <w:rPr>
          <w:rFonts w:ascii="Arial" w:hAnsi="Arial" w:cs="Arial"/>
        </w:rPr>
      </w:pPr>
      <w:r w:rsidRPr="00887B6D">
        <w:rPr>
          <w:rFonts w:ascii="Arial" w:hAnsi="Arial" w:cs="Arial"/>
        </w:rPr>
        <w:t>Students are placed in selective high schools and opportunity classes based on academic merit. Academic merit is mainly determined by the combination of the results of the Selective High School Placement Test or the Opportunity Class Placement Test (both hereinafter referred to as ‘placement tests’) together with primary school assessments of student performance in English and mathematics. Additional evidence of academic merit may also be considered at the discretion of the selection committee.</w:t>
      </w:r>
    </w:p>
    <w:p w14:paraId="189EEED7" w14:textId="77777777" w:rsidR="00887B6D" w:rsidRDefault="00887B6D" w:rsidP="00303DA1">
      <w:pPr>
        <w:spacing w:after="0" w:line="240" w:lineRule="auto"/>
        <w:rPr>
          <w:rFonts w:ascii="Arial" w:hAnsi="Arial" w:cs="Arial"/>
        </w:rPr>
      </w:pPr>
    </w:p>
    <w:p w14:paraId="243D7D28" w14:textId="77777777" w:rsidR="00424060" w:rsidRDefault="00303DA1" w:rsidP="00303DA1">
      <w:pPr>
        <w:spacing w:after="0" w:line="240" w:lineRule="auto"/>
        <w:rPr>
          <w:rFonts w:ascii="Arial" w:hAnsi="Arial" w:cs="Arial"/>
        </w:rPr>
      </w:pPr>
      <w:r w:rsidRPr="0054419C">
        <w:rPr>
          <w:rFonts w:ascii="Arial" w:hAnsi="Arial" w:cs="Arial"/>
          <w:u w:val="single"/>
        </w:rPr>
        <w:t xml:space="preserve">Year 7 </w:t>
      </w:r>
      <w:r w:rsidR="0005790A">
        <w:rPr>
          <w:rFonts w:ascii="Arial" w:hAnsi="Arial" w:cs="Arial"/>
          <w:u w:val="single"/>
        </w:rPr>
        <w:t xml:space="preserve">selective </w:t>
      </w:r>
      <w:r w:rsidRPr="0054419C">
        <w:rPr>
          <w:rFonts w:ascii="Arial" w:hAnsi="Arial" w:cs="Arial"/>
          <w:u w:val="single"/>
        </w:rPr>
        <w:t>enrolments</w:t>
      </w:r>
      <w:r w:rsidRPr="00303DA1">
        <w:rPr>
          <w:rFonts w:ascii="Arial" w:hAnsi="Arial" w:cs="Arial"/>
        </w:rPr>
        <w:t xml:space="preserve"> are offered by the Department to students who are successful at the Selective Schools Test conducted early in the final year of primary school. This test and all </w:t>
      </w:r>
      <w:proofErr w:type="gramStart"/>
      <w:r w:rsidRPr="00303DA1">
        <w:rPr>
          <w:rFonts w:ascii="Arial" w:hAnsi="Arial" w:cs="Arial"/>
        </w:rPr>
        <w:t>offers</w:t>
      </w:r>
      <w:proofErr w:type="gramEnd"/>
      <w:r w:rsidRPr="00303DA1">
        <w:rPr>
          <w:rFonts w:ascii="Arial" w:hAnsi="Arial" w:cs="Arial"/>
        </w:rPr>
        <w:t xml:space="preserve"> of placement are conducted external to the school by the Department's High Performing Students Unit. </w:t>
      </w:r>
      <w:r w:rsidR="00E77485" w:rsidRPr="001F227A">
        <w:rPr>
          <w:rFonts w:ascii="Arial" w:hAnsi="Arial" w:cs="Arial"/>
          <w:color w:val="000000" w:themeColor="text1"/>
        </w:rPr>
        <w:t>This process has now closed for the 2022 intake.</w:t>
      </w:r>
    </w:p>
    <w:p w14:paraId="65F73335" w14:textId="77777777" w:rsidR="00424060" w:rsidRDefault="00424060" w:rsidP="00303DA1">
      <w:pPr>
        <w:spacing w:after="0" w:line="240" w:lineRule="auto"/>
        <w:rPr>
          <w:rFonts w:ascii="Arial" w:hAnsi="Arial" w:cs="Arial"/>
        </w:rPr>
      </w:pPr>
    </w:p>
    <w:p w14:paraId="577463A0" w14:textId="77777777" w:rsidR="00303DA1" w:rsidRPr="00303DA1" w:rsidRDefault="00303DA1" w:rsidP="00303DA1">
      <w:pPr>
        <w:spacing w:after="0" w:line="240" w:lineRule="auto"/>
        <w:rPr>
          <w:rFonts w:ascii="Arial" w:hAnsi="Arial" w:cs="Arial"/>
        </w:rPr>
      </w:pPr>
      <w:r w:rsidRPr="0054419C">
        <w:rPr>
          <w:rFonts w:ascii="Arial" w:hAnsi="Arial" w:cs="Arial"/>
          <w:u w:val="single"/>
        </w:rPr>
        <w:t>Years 8–12 selective</w:t>
      </w:r>
      <w:r w:rsidRPr="00303DA1">
        <w:rPr>
          <w:rFonts w:ascii="Arial" w:hAnsi="Arial" w:cs="Arial"/>
        </w:rPr>
        <w:t xml:space="preserve"> enrolments are conducted by the relevant Campus and are subject to available places and the meeting of academic criteria.</w:t>
      </w:r>
      <w:r w:rsidR="00424060">
        <w:rPr>
          <w:rFonts w:ascii="Arial" w:hAnsi="Arial" w:cs="Arial"/>
        </w:rPr>
        <w:t xml:space="preserve"> Application Information can be found on the Department of Education’s Years 8-12 selective enrolment </w:t>
      </w:r>
      <w:hyperlink r:id="rId13" w:history="1">
        <w:r w:rsidR="00424060" w:rsidRPr="00424060">
          <w:rPr>
            <w:rStyle w:val="Hyperlink"/>
            <w:rFonts w:ascii="Arial" w:hAnsi="Arial" w:cs="Arial"/>
          </w:rPr>
          <w:t>page</w:t>
        </w:r>
      </w:hyperlink>
      <w:r w:rsidR="00424060">
        <w:rPr>
          <w:rFonts w:ascii="Arial" w:hAnsi="Arial" w:cs="Arial"/>
        </w:rPr>
        <w:t>.</w:t>
      </w:r>
    </w:p>
    <w:p w14:paraId="271ED621" w14:textId="77777777" w:rsidR="00303DA1" w:rsidRPr="00303DA1" w:rsidRDefault="00303DA1" w:rsidP="00303DA1">
      <w:pPr>
        <w:spacing w:after="0" w:line="240" w:lineRule="auto"/>
        <w:rPr>
          <w:rFonts w:ascii="Arial" w:hAnsi="Arial" w:cs="Arial"/>
        </w:rPr>
      </w:pPr>
    </w:p>
    <w:p w14:paraId="65098421" w14:textId="77777777" w:rsidR="00303DA1" w:rsidRPr="00303DA1" w:rsidRDefault="00303DA1" w:rsidP="00303DA1">
      <w:pPr>
        <w:spacing w:after="0" w:line="240" w:lineRule="auto"/>
        <w:rPr>
          <w:rFonts w:ascii="Arial" w:hAnsi="Arial" w:cs="Arial"/>
        </w:rPr>
      </w:pPr>
      <w:r w:rsidRPr="00303DA1">
        <w:rPr>
          <w:rFonts w:ascii="Arial" w:hAnsi="Arial" w:cs="Arial"/>
        </w:rPr>
        <w:t xml:space="preserve">Application must be made formally through the relevant Campus with as much supporting evidence as possible. Application forms </w:t>
      </w:r>
      <w:r w:rsidR="00424060">
        <w:rPr>
          <w:rFonts w:ascii="Arial" w:hAnsi="Arial" w:cs="Arial"/>
        </w:rPr>
        <w:t xml:space="preserve">for 2022 </w:t>
      </w:r>
      <w:r w:rsidRPr="00303DA1">
        <w:rPr>
          <w:rFonts w:ascii="Arial" w:hAnsi="Arial" w:cs="Arial"/>
        </w:rPr>
        <w:t xml:space="preserve">are available </w:t>
      </w:r>
      <w:r w:rsidR="00424060">
        <w:rPr>
          <w:rFonts w:ascii="Arial" w:hAnsi="Arial" w:cs="Arial"/>
        </w:rPr>
        <w:t xml:space="preserve">on Department of Education’s Years 8-12 selective enrolment page and found </w:t>
      </w:r>
      <w:hyperlink r:id="rId14" w:history="1">
        <w:r w:rsidR="00424060" w:rsidRPr="00424060">
          <w:rPr>
            <w:rStyle w:val="Hyperlink"/>
            <w:rFonts w:ascii="Arial" w:hAnsi="Arial" w:cs="Arial"/>
          </w:rPr>
          <w:t>here</w:t>
        </w:r>
      </w:hyperlink>
      <w:r w:rsidR="00424060">
        <w:rPr>
          <w:rFonts w:ascii="Arial" w:hAnsi="Arial" w:cs="Arial"/>
        </w:rPr>
        <w:t>.</w:t>
      </w:r>
    </w:p>
    <w:p w14:paraId="391EE584" w14:textId="77777777" w:rsidR="00303DA1" w:rsidRPr="00303DA1" w:rsidRDefault="00303DA1" w:rsidP="00303DA1">
      <w:pPr>
        <w:spacing w:after="0" w:line="240" w:lineRule="auto"/>
        <w:rPr>
          <w:rFonts w:ascii="Arial" w:hAnsi="Arial" w:cs="Arial"/>
        </w:rPr>
      </w:pPr>
    </w:p>
    <w:p w14:paraId="7157D8A2" w14:textId="77777777" w:rsidR="00303DA1" w:rsidRPr="00303DA1" w:rsidRDefault="00303DA1" w:rsidP="00303DA1">
      <w:pPr>
        <w:spacing w:after="0" w:line="240" w:lineRule="auto"/>
        <w:rPr>
          <w:rFonts w:ascii="Arial" w:hAnsi="Arial" w:cs="Arial"/>
        </w:rPr>
      </w:pPr>
      <w:r w:rsidRPr="00303DA1">
        <w:rPr>
          <w:rFonts w:ascii="Arial" w:hAnsi="Arial" w:cs="Arial"/>
        </w:rPr>
        <w:t xml:space="preserve">A placement panel, including the Campus Principal or delegate, </w:t>
      </w:r>
      <w:r w:rsidR="00887B6D">
        <w:rPr>
          <w:rFonts w:ascii="Arial" w:hAnsi="Arial" w:cs="Arial"/>
        </w:rPr>
        <w:t xml:space="preserve">a teacher </w:t>
      </w:r>
      <w:proofErr w:type="gramStart"/>
      <w:r w:rsidR="00887B6D">
        <w:rPr>
          <w:rFonts w:ascii="Arial" w:hAnsi="Arial" w:cs="Arial"/>
        </w:rPr>
        <w:t>representative</w:t>
      </w:r>
      <w:proofErr w:type="gramEnd"/>
      <w:r w:rsidR="00887B6D">
        <w:rPr>
          <w:rFonts w:ascii="Arial" w:hAnsi="Arial" w:cs="Arial"/>
        </w:rPr>
        <w:t xml:space="preserve"> and </w:t>
      </w:r>
      <w:r w:rsidRPr="00303DA1">
        <w:rPr>
          <w:rFonts w:ascii="Arial" w:hAnsi="Arial" w:cs="Arial"/>
        </w:rPr>
        <w:t>a parent representative, considers all applications before an offer is made. Demonstrated evidence of high academic achievement must be evident.</w:t>
      </w:r>
    </w:p>
    <w:p w14:paraId="521EBD54" w14:textId="77777777" w:rsidR="00303DA1" w:rsidRPr="00303DA1" w:rsidRDefault="00303DA1" w:rsidP="00303DA1">
      <w:pPr>
        <w:spacing w:after="0" w:line="240" w:lineRule="auto"/>
        <w:rPr>
          <w:rFonts w:ascii="Arial" w:hAnsi="Arial" w:cs="Arial"/>
        </w:rPr>
      </w:pPr>
    </w:p>
    <w:p w14:paraId="005230BD" w14:textId="77777777" w:rsidR="00303DA1" w:rsidRPr="00303DA1" w:rsidRDefault="00303DA1" w:rsidP="00303DA1">
      <w:pPr>
        <w:spacing w:after="0" w:line="240" w:lineRule="auto"/>
        <w:rPr>
          <w:rFonts w:ascii="Arial" w:hAnsi="Arial" w:cs="Arial"/>
        </w:rPr>
      </w:pPr>
      <w:r w:rsidRPr="00303DA1">
        <w:rPr>
          <w:rFonts w:ascii="Arial" w:hAnsi="Arial" w:cs="Arial"/>
        </w:rPr>
        <w:t xml:space="preserve">All selective students must be Australian citizens, permanent Australian </w:t>
      </w:r>
      <w:proofErr w:type="gramStart"/>
      <w:r w:rsidRPr="00303DA1">
        <w:rPr>
          <w:rFonts w:ascii="Arial" w:hAnsi="Arial" w:cs="Arial"/>
        </w:rPr>
        <w:t>residents</w:t>
      </w:r>
      <w:proofErr w:type="gramEnd"/>
      <w:r w:rsidRPr="00303DA1">
        <w:rPr>
          <w:rFonts w:ascii="Arial" w:hAnsi="Arial" w:cs="Arial"/>
        </w:rPr>
        <w:t xml:space="preserve"> or the child of diplomatic staff.</w:t>
      </w:r>
    </w:p>
    <w:p w14:paraId="6C246161" w14:textId="77777777" w:rsidR="00303DA1" w:rsidRPr="00303DA1" w:rsidRDefault="00303DA1" w:rsidP="00303DA1">
      <w:pPr>
        <w:spacing w:after="0" w:line="240" w:lineRule="auto"/>
        <w:rPr>
          <w:rFonts w:ascii="Arial" w:hAnsi="Arial" w:cs="Arial"/>
        </w:rPr>
      </w:pPr>
    </w:p>
    <w:p w14:paraId="4AB8B236" w14:textId="77777777" w:rsidR="00303DA1" w:rsidRPr="00303DA1" w:rsidRDefault="00303DA1" w:rsidP="00303DA1">
      <w:pPr>
        <w:spacing w:after="0" w:line="240" w:lineRule="auto"/>
        <w:rPr>
          <w:rFonts w:ascii="Arial" w:hAnsi="Arial" w:cs="Arial"/>
        </w:rPr>
      </w:pPr>
      <w:r w:rsidRPr="00303DA1">
        <w:rPr>
          <w:rFonts w:ascii="Arial" w:hAnsi="Arial" w:cs="Arial"/>
        </w:rPr>
        <w:t>Waiting lists will be established where there are no places available at the time of application or where requests for enrolment exceed available places. Waiting lists are current for one year. Parents will be advised if their child is being placed on a waiting list.</w:t>
      </w:r>
    </w:p>
    <w:p w14:paraId="2A99A01A" w14:textId="77777777" w:rsidR="00A01191" w:rsidRDefault="00A01191" w:rsidP="00303DA1">
      <w:pPr>
        <w:spacing w:after="0" w:line="240" w:lineRule="auto"/>
        <w:rPr>
          <w:rFonts w:ascii="Arial" w:hAnsi="Arial" w:cs="Arial"/>
          <w:b/>
        </w:rPr>
      </w:pPr>
    </w:p>
    <w:p w14:paraId="629FE128" w14:textId="77777777" w:rsidR="00887B6D" w:rsidRDefault="00887B6D" w:rsidP="00303DA1">
      <w:pPr>
        <w:spacing w:after="0" w:line="240" w:lineRule="auto"/>
        <w:rPr>
          <w:rFonts w:ascii="Arial" w:hAnsi="Arial" w:cs="Arial"/>
          <w:b/>
        </w:rPr>
      </w:pPr>
    </w:p>
    <w:p w14:paraId="2A8DA1F6" w14:textId="77777777" w:rsidR="00303DA1" w:rsidRDefault="00303DA1" w:rsidP="0005790A">
      <w:pPr>
        <w:shd w:val="clear" w:color="auto" w:fill="D9E2F3" w:themeFill="accent1" w:themeFillTint="33"/>
        <w:spacing w:after="0" w:line="240" w:lineRule="auto"/>
        <w:rPr>
          <w:rFonts w:ascii="Arial" w:hAnsi="Arial" w:cs="Arial"/>
          <w:b/>
        </w:rPr>
      </w:pPr>
      <w:r w:rsidRPr="00887B6D">
        <w:rPr>
          <w:rFonts w:ascii="Arial" w:hAnsi="Arial" w:cs="Arial"/>
          <w:b/>
        </w:rPr>
        <w:t>Enrolment of students with disabilities</w:t>
      </w:r>
    </w:p>
    <w:p w14:paraId="168B1976" w14:textId="77777777" w:rsidR="00887B6D" w:rsidRPr="00887B6D" w:rsidRDefault="00887B6D" w:rsidP="00303DA1">
      <w:pPr>
        <w:spacing w:after="0" w:line="240" w:lineRule="auto"/>
        <w:rPr>
          <w:rFonts w:ascii="Arial" w:hAnsi="Arial" w:cs="Arial"/>
          <w:b/>
        </w:rPr>
      </w:pPr>
    </w:p>
    <w:p w14:paraId="715C7518" w14:textId="77777777" w:rsidR="00A01191" w:rsidRPr="00A01191" w:rsidRDefault="00A01191" w:rsidP="00A01191">
      <w:pPr>
        <w:spacing w:after="0" w:line="240" w:lineRule="auto"/>
        <w:rPr>
          <w:rFonts w:ascii="Arial" w:hAnsi="Arial" w:cs="Arial"/>
        </w:rPr>
      </w:pPr>
      <w:r w:rsidRPr="00A01191">
        <w:rPr>
          <w:rFonts w:ascii="Arial" w:hAnsi="Arial" w:cs="Arial"/>
        </w:rPr>
        <w:t>At Sydney Secondary College, there is provision for students with disabilities in specialist or mainstream settings at all 3 campuses.</w:t>
      </w:r>
    </w:p>
    <w:p w14:paraId="03050086" w14:textId="77777777" w:rsidR="00A01191" w:rsidRPr="00A01191" w:rsidRDefault="00A01191" w:rsidP="00A01191">
      <w:pPr>
        <w:spacing w:after="0" w:line="240" w:lineRule="auto"/>
        <w:rPr>
          <w:rFonts w:ascii="Arial" w:hAnsi="Arial" w:cs="Arial"/>
        </w:rPr>
      </w:pPr>
      <w:r w:rsidRPr="00A01191">
        <w:rPr>
          <w:rFonts w:ascii="Arial" w:hAnsi="Arial" w:cs="Arial"/>
        </w:rPr>
        <w:t> </w:t>
      </w:r>
    </w:p>
    <w:p w14:paraId="71F1D03F" w14:textId="77777777" w:rsidR="00A01191" w:rsidRPr="00A01191" w:rsidRDefault="00A01191" w:rsidP="00A01191">
      <w:pPr>
        <w:spacing w:after="0" w:line="240" w:lineRule="auto"/>
        <w:rPr>
          <w:rFonts w:ascii="Arial" w:hAnsi="Arial" w:cs="Arial"/>
        </w:rPr>
      </w:pPr>
      <w:r w:rsidRPr="00A01191">
        <w:rPr>
          <w:rFonts w:ascii="Arial" w:hAnsi="Arial" w:cs="Arial"/>
        </w:rPr>
        <w:t>Each campus of the college has a Support Unit for students with intellectual disabilities (IM or IO) or Autism Spectrum Disorder.  Targeted funding, specialist teachers and advisory services are available to support students with disabilities enrolled in regular classes.</w:t>
      </w:r>
    </w:p>
    <w:p w14:paraId="64CEEA3C" w14:textId="77777777" w:rsidR="00A01191" w:rsidRPr="00A01191" w:rsidRDefault="00A01191" w:rsidP="00A01191">
      <w:pPr>
        <w:spacing w:after="0" w:line="240" w:lineRule="auto"/>
        <w:rPr>
          <w:rFonts w:ascii="Arial" w:hAnsi="Arial" w:cs="Arial"/>
        </w:rPr>
      </w:pPr>
      <w:r w:rsidRPr="00A01191">
        <w:rPr>
          <w:rFonts w:ascii="Arial" w:hAnsi="Arial" w:cs="Arial"/>
        </w:rPr>
        <w:t> </w:t>
      </w:r>
    </w:p>
    <w:p w14:paraId="70FCFF8C" w14:textId="77777777" w:rsidR="00A01191" w:rsidRPr="00A01191" w:rsidRDefault="00A01191" w:rsidP="00A01191">
      <w:pPr>
        <w:spacing w:after="0" w:line="240" w:lineRule="auto"/>
        <w:rPr>
          <w:rFonts w:ascii="Arial" w:hAnsi="Arial" w:cs="Arial"/>
        </w:rPr>
      </w:pPr>
      <w:r w:rsidRPr="00A01191">
        <w:rPr>
          <w:rFonts w:ascii="Arial" w:hAnsi="Arial" w:cs="Arial"/>
        </w:rPr>
        <w:lastRenderedPageBreak/>
        <w:t>NB: placement in any Support Unit class is through an application to a local disability panel. Enquiries may be directed through:</w:t>
      </w:r>
    </w:p>
    <w:p w14:paraId="34E49273" w14:textId="77777777" w:rsidR="00A01191" w:rsidRPr="00A01191" w:rsidRDefault="00A01191" w:rsidP="00A01191">
      <w:pPr>
        <w:spacing w:after="0" w:line="240" w:lineRule="auto"/>
        <w:rPr>
          <w:rFonts w:ascii="Arial" w:hAnsi="Arial" w:cs="Arial"/>
        </w:rPr>
      </w:pPr>
      <w:r w:rsidRPr="00A01191">
        <w:rPr>
          <w:rFonts w:ascii="Arial" w:hAnsi="Arial" w:cs="Arial"/>
        </w:rPr>
        <w:t xml:space="preserve">The Learning &amp; </w:t>
      </w:r>
      <w:proofErr w:type="gramStart"/>
      <w:r w:rsidRPr="00A01191">
        <w:rPr>
          <w:rFonts w:ascii="Arial" w:hAnsi="Arial" w:cs="Arial"/>
        </w:rPr>
        <w:t>Wellbeing  Officer</w:t>
      </w:r>
      <w:proofErr w:type="gramEnd"/>
      <w:r w:rsidRPr="00A01191">
        <w:rPr>
          <w:rFonts w:ascii="Arial" w:hAnsi="Arial" w:cs="Arial"/>
        </w:rPr>
        <w:t>,  Delivery Support</w:t>
      </w:r>
    </w:p>
    <w:p w14:paraId="3FD31188" w14:textId="77777777" w:rsidR="00A01191" w:rsidRPr="00A01191" w:rsidRDefault="00A01191" w:rsidP="00A01191">
      <w:pPr>
        <w:spacing w:after="0" w:line="240" w:lineRule="auto"/>
        <w:rPr>
          <w:rFonts w:ascii="Arial" w:hAnsi="Arial" w:cs="Arial"/>
        </w:rPr>
      </w:pPr>
      <w:r w:rsidRPr="00A01191">
        <w:rPr>
          <w:rFonts w:ascii="Arial" w:hAnsi="Arial" w:cs="Arial"/>
        </w:rPr>
        <w:t>Arncliffe Office</w:t>
      </w:r>
    </w:p>
    <w:p w14:paraId="1F545A63" w14:textId="77777777" w:rsidR="00303DA1" w:rsidRPr="00303DA1" w:rsidRDefault="00A01191" w:rsidP="00303DA1">
      <w:pPr>
        <w:spacing w:after="0" w:line="240" w:lineRule="auto"/>
        <w:rPr>
          <w:rFonts w:ascii="Arial" w:hAnsi="Arial" w:cs="Arial"/>
        </w:rPr>
      </w:pPr>
      <w:r w:rsidRPr="00A01191">
        <w:rPr>
          <w:rFonts w:ascii="Arial" w:hAnsi="Arial" w:cs="Arial"/>
        </w:rPr>
        <w:t>Phone 02 9582 2860</w:t>
      </w:r>
    </w:p>
    <w:p w14:paraId="021C427D" w14:textId="77777777" w:rsidR="000436A6" w:rsidRDefault="000436A6" w:rsidP="00303DA1">
      <w:pPr>
        <w:spacing w:after="0" w:line="240" w:lineRule="auto"/>
        <w:rPr>
          <w:rFonts w:ascii="Arial" w:hAnsi="Arial" w:cs="Arial"/>
          <w:b/>
        </w:rPr>
      </w:pPr>
    </w:p>
    <w:p w14:paraId="112F6392" w14:textId="77777777" w:rsidR="00303DA1" w:rsidRDefault="00303DA1" w:rsidP="0005790A">
      <w:pPr>
        <w:shd w:val="clear" w:color="auto" w:fill="D9E2F3" w:themeFill="accent1" w:themeFillTint="33"/>
        <w:spacing w:after="0" w:line="240" w:lineRule="auto"/>
        <w:rPr>
          <w:rFonts w:ascii="Arial" w:hAnsi="Arial" w:cs="Arial"/>
          <w:b/>
        </w:rPr>
      </w:pPr>
      <w:r w:rsidRPr="00887B6D">
        <w:rPr>
          <w:rFonts w:ascii="Arial" w:hAnsi="Arial" w:cs="Arial"/>
          <w:b/>
        </w:rPr>
        <w:t>Appeals</w:t>
      </w:r>
    </w:p>
    <w:p w14:paraId="620B8752" w14:textId="77777777" w:rsidR="00887B6D" w:rsidRPr="00887B6D" w:rsidRDefault="00887B6D" w:rsidP="00303DA1">
      <w:pPr>
        <w:spacing w:after="0" w:line="240" w:lineRule="auto"/>
        <w:rPr>
          <w:rFonts w:ascii="Arial" w:hAnsi="Arial" w:cs="Arial"/>
          <w:b/>
        </w:rPr>
      </w:pPr>
    </w:p>
    <w:p w14:paraId="6F5336DE" w14:textId="77777777" w:rsidR="00887B6D" w:rsidRPr="001F227A" w:rsidRDefault="00887B6D" w:rsidP="001F227A">
      <w:pPr>
        <w:pStyle w:val="ListParagraph"/>
        <w:numPr>
          <w:ilvl w:val="0"/>
          <w:numId w:val="6"/>
        </w:numPr>
        <w:spacing w:after="0" w:line="240" w:lineRule="auto"/>
        <w:rPr>
          <w:rFonts w:ascii="Arial" w:hAnsi="Arial" w:cs="Arial"/>
        </w:rPr>
      </w:pPr>
      <w:r w:rsidRPr="001F227A">
        <w:rPr>
          <w:rFonts w:ascii="Arial" w:hAnsi="Arial" w:cs="Arial"/>
        </w:rPr>
        <w:t xml:space="preserve">Unsuccessful </w:t>
      </w:r>
      <w:r w:rsidRPr="001F227A">
        <w:rPr>
          <w:rFonts w:ascii="Arial" w:hAnsi="Arial" w:cs="Arial"/>
          <w:u w:val="single"/>
        </w:rPr>
        <w:t>non-local applicants</w:t>
      </w:r>
      <w:r w:rsidRPr="001F227A">
        <w:rPr>
          <w:rFonts w:ascii="Arial" w:hAnsi="Arial" w:cs="Arial"/>
        </w:rPr>
        <w:t xml:space="preserve"> may appeal against the decision of the enrolment panel. The appeal is made in writing to the college principal and sets out the grounds of the appeal. The purpose of the appeal is to determine whether the stated criteria have been applied equitably. The college principal considers the appeal and </w:t>
      </w:r>
      <w:proofErr w:type="gramStart"/>
      <w:r w:rsidRPr="001F227A">
        <w:rPr>
          <w:rFonts w:ascii="Arial" w:hAnsi="Arial" w:cs="Arial"/>
        </w:rPr>
        <w:t>makes a determination</w:t>
      </w:r>
      <w:proofErr w:type="gramEnd"/>
      <w:r w:rsidRPr="001F227A">
        <w:rPr>
          <w:rFonts w:ascii="Arial" w:hAnsi="Arial" w:cs="Arial"/>
        </w:rPr>
        <w:t>. Appeals should be addressed to:</w:t>
      </w:r>
    </w:p>
    <w:p w14:paraId="666CD9EF" w14:textId="77777777" w:rsidR="00887B6D" w:rsidRDefault="00887B6D" w:rsidP="001F227A">
      <w:pPr>
        <w:spacing w:after="0" w:line="240" w:lineRule="auto"/>
        <w:ind w:left="360"/>
        <w:rPr>
          <w:rFonts w:ascii="Arial" w:hAnsi="Arial" w:cs="Arial"/>
        </w:rPr>
      </w:pPr>
    </w:p>
    <w:p w14:paraId="78F18641" w14:textId="77777777" w:rsidR="00887B6D" w:rsidRDefault="0054419C" w:rsidP="001F227A">
      <w:pPr>
        <w:spacing w:after="0" w:line="240" w:lineRule="auto"/>
        <w:ind w:left="360"/>
        <w:rPr>
          <w:rFonts w:ascii="Arial" w:hAnsi="Arial" w:cs="Arial"/>
        </w:rPr>
      </w:pPr>
      <w:r>
        <w:rPr>
          <w:rFonts w:ascii="Arial" w:hAnsi="Arial" w:cs="Arial"/>
        </w:rPr>
        <w:t>Ian Bowsher</w:t>
      </w:r>
    </w:p>
    <w:p w14:paraId="64B8630C" w14:textId="77777777" w:rsidR="00887B6D" w:rsidRPr="00303DA1" w:rsidRDefault="00887B6D" w:rsidP="001F227A">
      <w:pPr>
        <w:spacing w:after="0" w:line="240" w:lineRule="auto"/>
        <w:ind w:left="360"/>
        <w:rPr>
          <w:rFonts w:ascii="Arial" w:hAnsi="Arial" w:cs="Arial"/>
        </w:rPr>
      </w:pPr>
      <w:r>
        <w:rPr>
          <w:rFonts w:ascii="Arial" w:hAnsi="Arial" w:cs="Arial"/>
        </w:rPr>
        <w:t>College Principal</w:t>
      </w:r>
    </w:p>
    <w:p w14:paraId="10BCB1E2" w14:textId="77777777" w:rsidR="00887B6D" w:rsidRPr="00303DA1" w:rsidRDefault="00887B6D" w:rsidP="001F227A">
      <w:pPr>
        <w:spacing w:after="0" w:line="240" w:lineRule="auto"/>
        <w:ind w:left="360"/>
        <w:rPr>
          <w:rFonts w:ascii="Arial" w:hAnsi="Arial" w:cs="Arial"/>
        </w:rPr>
      </w:pPr>
      <w:r w:rsidRPr="00303DA1">
        <w:rPr>
          <w:rFonts w:ascii="Arial" w:hAnsi="Arial" w:cs="Arial"/>
        </w:rPr>
        <w:t>Sydney Secondary College</w:t>
      </w:r>
    </w:p>
    <w:p w14:paraId="3200DB82" w14:textId="77777777" w:rsidR="00887B6D" w:rsidRPr="00303DA1" w:rsidRDefault="00887B6D" w:rsidP="001F227A">
      <w:pPr>
        <w:spacing w:after="0" w:line="240" w:lineRule="auto"/>
        <w:ind w:left="360"/>
        <w:rPr>
          <w:rFonts w:ascii="Arial" w:hAnsi="Arial" w:cs="Arial"/>
        </w:rPr>
      </w:pPr>
      <w:r w:rsidRPr="00303DA1">
        <w:rPr>
          <w:rFonts w:ascii="Arial" w:hAnsi="Arial" w:cs="Arial"/>
        </w:rPr>
        <w:t>Administration Centre</w:t>
      </w:r>
    </w:p>
    <w:p w14:paraId="65F1CABD" w14:textId="77777777" w:rsidR="00887B6D" w:rsidRPr="00303DA1" w:rsidRDefault="00887B6D" w:rsidP="001F227A">
      <w:pPr>
        <w:spacing w:after="0" w:line="240" w:lineRule="auto"/>
        <w:ind w:left="360"/>
        <w:rPr>
          <w:rFonts w:ascii="Arial" w:hAnsi="Arial" w:cs="Arial"/>
        </w:rPr>
      </w:pPr>
      <w:r w:rsidRPr="00303DA1">
        <w:rPr>
          <w:rFonts w:ascii="Arial" w:hAnsi="Arial" w:cs="Arial"/>
        </w:rPr>
        <w:t>Balmain Campus</w:t>
      </w:r>
    </w:p>
    <w:p w14:paraId="07FB9D90" w14:textId="77777777" w:rsidR="00887B6D" w:rsidRPr="00303DA1" w:rsidRDefault="00887B6D" w:rsidP="001F227A">
      <w:pPr>
        <w:spacing w:after="0" w:line="240" w:lineRule="auto"/>
        <w:ind w:left="360"/>
        <w:rPr>
          <w:rFonts w:ascii="Arial" w:hAnsi="Arial" w:cs="Arial"/>
        </w:rPr>
      </w:pPr>
      <w:r w:rsidRPr="00303DA1">
        <w:rPr>
          <w:rFonts w:ascii="Arial" w:hAnsi="Arial" w:cs="Arial"/>
        </w:rPr>
        <w:t>Terry St, Rozelle</w:t>
      </w:r>
    </w:p>
    <w:p w14:paraId="5AD85C2D" w14:textId="77777777" w:rsidR="00887B6D" w:rsidRDefault="00887B6D" w:rsidP="001F227A">
      <w:pPr>
        <w:spacing w:after="0" w:line="240" w:lineRule="auto"/>
        <w:ind w:left="360"/>
        <w:rPr>
          <w:rFonts w:ascii="Arial" w:hAnsi="Arial" w:cs="Arial"/>
        </w:rPr>
      </w:pPr>
      <w:r w:rsidRPr="00303DA1">
        <w:rPr>
          <w:rFonts w:ascii="Arial" w:hAnsi="Arial" w:cs="Arial"/>
        </w:rPr>
        <w:t>NSW 2039</w:t>
      </w:r>
    </w:p>
    <w:p w14:paraId="39551366" w14:textId="77777777" w:rsidR="00CB4080" w:rsidRDefault="00CB4080" w:rsidP="00887B6D">
      <w:pPr>
        <w:spacing w:after="0" w:line="240" w:lineRule="auto"/>
        <w:rPr>
          <w:rFonts w:ascii="Arial" w:hAnsi="Arial" w:cs="Arial"/>
        </w:rPr>
      </w:pPr>
    </w:p>
    <w:p w14:paraId="0FD5FCDC" w14:textId="77777777" w:rsidR="00CB4080" w:rsidRPr="001F227A" w:rsidRDefault="00CB4080" w:rsidP="001F227A">
      <w:pPr>
        <w:pStyle w:val="ListParagraph"/>
        <w:numPr>
          <w:ilvl w:val="0"/>
          <w:numId w:val="6"/>
        </w:numPr>
        <w:spacing w:after="0" w:line="240" w:lineRule="auto"/>
        <w:rPr>
          <w:rFonts w:ascii="Arial" w:hAnsi="Arial" w:cs="Arial"/>
          <w:color w:val="000000" w:themeColor="text1"/>
        </w:rPr>
      </w:pPr>
      <w:r w:rsidRPr="001F227A">
        <w:rPr>
          <w:rFonts w:ascii="Arial" w:hAnsi="Arial" w:cs="Arial"/>
          <w:color w:val="000000" w:themeColor="text1"/>
        </w:rPr>
        <w:t xml:space="preserve">Unsuccessful </w:t>
      </w:r>
      <w:r w:rsidRPr="001F227A">
        <w:rPr>
          <w:rFonts w:ascii="Arial" w:hAnsi="Arial" w:cs="Arial"/>
          <w:color w:val="000000" w:themeColor="text1"/>
          <w:u w:val="single"/>
        </w:rPr>
        <w:t>Selective</w:t>
      </w:r>
      <w:r w:rsidR="007D2374" w:rsidRPr="001F227A">
        <w:rPr>
          <w:rFonts w:ascii="Arial" w:hAnsi="Arial" w:cs="Arial"/>
          <w:color w:val="000000" w:themeColor="text1"/>
          <w:u w:val="single"/>
        </w:rPr>
        <w:t xml:space="preserve"> (Year 7)</w:t>
      </w:r>
      <w:r w:rsidRPr="001F227A">
        <w:rPr>
          <w:rFonts w:ascii="Arial" w:hAnsi="Arial" w:cs="Arial"/>
          <w:color w:val="000000" w:themeColor="text1"/>
        </w:rPr>
        <w:t xml:space="preserve"> applicants </w:t>
      </w:r>
      <w:r w:rsidR="007D2374" w:rsidRPr="001F227A">
        <w:rPr>
          <w:rFonts w:ascii="Arial" w:hAnsi="Arial" w:cs="Arial"/>
          <w:color w:val="000000" w:themeColor="text1"/>
        </w:rPr>
        <w:t xml:space="preserve">can appeal directly with the High Performance Unit by lodging an appeal </w:t>
      </w:r>
      <w:hyperlink r:id="rId15" w:history="1">
        <w:r w:rsidR="007D2374" w:rsidRPr="001F227A">
          <w:rPr>
            <w:rStyle w:val="Hyperlink"/>
            <w:rFonts w:ascii="Arial" w:hAnsi="Arial" w:cs="Arial"/>
            <w:color w:val="000000" w:themeColor="text1"/>
          </w:rPr>
          <w:t>online</w:t>
        </w:r>
      </w:hyperlink>
      <w:r w:rsidR="007D2374" w:rsidRPr="001F227A">
        <w:rPr>
          <w:rFonts w:ascii="Arial" w:hAnsi="Arial" w:cs="Arial"/>
          <w:color w:val="000000" w:themeColor="text1"/>
        </w:rPr>
        <w:t>.</w:t>
      </w:r>
    </w:p>
    <w:p w14:paraId="1F523E5E" w14:textId="77777777" w:rsidR="007D2374" w:rsidRPr="001F227A" w:rsidRDefault="007D2374" w:rsidP="00887B6D">
      <w:pPr>
        <w:spacing w:after="0" w:line="240" w:lineRule="auto"/>
        <w:rPr>
          <w:rFonts w:ascii="Arial" w:hAnsi="Arial" w:cs="Arial"/>
          <w:color w:val="000000" w:themeColor="text1"/>
        </w:rPr>
      </w:pPr>
    </w:p>
    <w:p w14:paraId="312F69B3" w14:textId="77777777" w:rsidR="007D2374" w:rsidRPr="001F227A" w:rsidRDefault="007D2374" w:rsidP="001F227A">
      <w:pPr>
        <w:pStyle w:val="ListParagraph"/>
        <w:numPr>
          <w:ilvl w:val="0"/>
          <w:numId w:val="6"/>
        </w:numPr>
        <w:spacing w:after="0" w:line="240" w:lineRule="auto"/>
        <w:rPr>
          <w:rFonts w:ascii="Arial" w:hAnsi="Arial" w:cs="Arial"/>
          <w:color w:val="000000" w:themeColor="text1"/>
        </w:rPr>
      </w:pPr>
      <w:r w:rsidRPr="001F227A">
        <w:rPr>
          <w:rFonts w:ascii="Arial" w:hAnsi="Arial" w:cs="Arial"/>
          <w:color w:val="000000" w:themeColor="text1"/>
        </w:rPr>
        <w:t xml:space="preserve">Unsuccessful </w:t>
      </w:r>
      <w:r w:rsidRPr="001F227A">
        <w:rPr>
          <w:rFonts w:ascii="Arial" w:hAnsi="Arial" w:cs="Arial"/>
          <w:color w:val="000000" w:themeColor="text1"/>
          <w:u w:val="single"/>
        </w:rPr>
        <w:t>Selective (Years 8-12)</w:t>
      </w:r>
      <w:r w:rsidRPr="001F227A">
        <w:rPr>
          <w:rFonts w:ascii="Arial" w:hAnsi="Arial" w:cs="Arial"/>
          <w:color w:val="000000" w:themeColor="text1"/>
        </w:rPr>
        <w:t xml:space="preserve"> applicants can ask the principal of the campus to review the outcome by following the guidelines on the High performance </w:t>
      </w:r>
      <w:hyperlink r:id="rId16" w:anchor="Reviews2" w:history="1">
        <w:r w:rsidRPr="001F227A">
          <w:rPr>
            <w:rStyle w:val="Hyperlink"/>
            <w:rFonts w:ascii="Arial" w:hAnsi="Arial" w:cs="Arial"/>
            <w:color w:val="000000" w:themeColor="text1"/>
          </w:rPr>
          <w:t>website</w:t>
        </w:r>
      </w:hyperlink>
      <w:r w:rsidRPr="001F227A">
        <w:rPr>
          <w:rFonts w:ascii="Arial" w:hAnsi="Arial" w:cs="Arial"/>
          <w:color w:val="000000" w:themeColor="text1"/>
        </w:rPr>
        <w:t>.</w:t>
      </w:r>
    </w:p>
    <w:p w14:paraId="02F6D1CC" w14:textId="77777777" w:rsidR="007D2374" w:rsidRPr="001F227A" w:rsidRDefault="007D2374" w:rsidP="00887B6D">
      <w:pPr>
        <w:spacing w:after="0" w:line="240" w:lineRule="auto"/>
        <w:rPr>
          <w:rFonts w:ascii="Arial" w:hAnsi="Arial" w:cs="Arial"/>
          <w:color w:val="000000" w:themeColor="text1"/>
        </w:rPr>
      </w:pPr>
    </w:p>
    <w:p w14:paraId="51DB2373" w14:textId="77777777" w:rsidR="007D2374" w:rsidRPr="001F227A" w:rsidRDefault="007D2374" w:rsidP="001F227A">
      <w:pPr>
        <w:pStyle w:val="ListParagraph"/>
        <w:numPr>
          <w:ilvl w:val="0"/>
          <w:numId w:val="6"/>
        </w:numPr>
        <w:spacing w:after="0" w:line="240" w:lineRule="auto"/>
        <w:rPr>
          <w:rFonts w:ascii="Arial" w:hAnsi="Arial" w:cs="Arial"/>
          <w:color w:val="000000" w:themeColor="text1"/>
        </w:rPr>
      </w:pPr>
      <w:r w:rsidRPr="001F227A">
        <w:rPr>
          <w:rFonts w:ascii="Arial" w:hAnsi="Arial" w:cs="Arial"/>
          <w:color w:val="000000" w:themeColor="text1"/>
        </w:rPr>
        <w:t xml:space="preserve">To discuss and ask for a review of an unsuccessful placement for </w:t>
      </w:r>
      <w:r w:rsidRPr="001F227A">
        <w:rPr>
          <w:rFonts w:ascii="Arial" w:hAnsi="Arial" w:cs="Arial"/>
          <w:color w:val="000000" w:themeColor="text1"/>
          <w:u w:val="single"/>
        </w:rPr>
        <w:t>students with disabilities</w:t>
      </w:r>
      <w:r w:rsidRPr="001F227A">
        <w:rPr>
          <w:rFonts w:ascii="Arial" w:hAnsi="Arial" w:cs="Arial"/>
          <w:color w:val="000000" w:themeColor="text1"/>
        </w:rPr>
        <w:t xml:space="preserve"> call the educational services team directly on 131 536.</w:t>
      </w:r>
    </w:p>
    <w:p w14:paraId="5EEBD04A" w14:textId="77777777" w:rsidR="007D2374" w:rsidRDefault="007D2374" w:rsidP="00887B6D">
      <w:pPr>
        <w:spacing w:after="0" w:line="240" w:lineRule="auto"/>
        <w:rPr>
          <w:rFonts w:ascii="Arial" w:hAnsi="Arial" w:cs="Arial"/>
        </w:rPr>
      </w:pPr>
    </w:p>
    <w:p w14:paraId="17A28BBD" w14:textId="77777777" w:rsidR="00772575" w:rsidRDefault="00772575" w:rsidP="00887B6D">
      <w:pPr>
        <w:spacing w:after="0" w:line="240" w:lineRule="auto"/>
        <w:rPr>
          <w:rFonts w:ascii="Arial" w:hAnsi="Arial" w:cs="Arial"/>
        </w:rPr>
      </w:pPr>
    </w:p>
    <w:p w14:paraId="51D797DE" w14:textId="77777777" w:rsidR="00772575" w:rsidRDefault="00772575" w:rsidP="0005790A">
      <w:pPr>
        <w:shd w:val="clear" w:color="auto" w:fill="D9E2F3" w:themeFill="accent1" w:themeFillTint="33"/>
        <w:spacing w:after="0" w:line="240" w:lineRule="auto"/>
        <w:rPr>
          <w:rFonts w:ascii="Arial" w:hAnsi="Arial" w:cs="Arial"/>
          <w:b/>
          <w:bCs/>
        </w:rPr>
      </w:pPr>
      <w:r w:rsidRPr="00772575">
        <w:rPr>
          <w:rFonts w:ascii="Arial" w:hAnsi="Arial" w:cs="Arial"/>
          <w:b/>
          <w:bCs/>
        </w:rPr>
        <w:t>Temporary visas and international students</w:t>
      </w:r>
    </w:p>
    <w:p w14:paraId="56EA010E" w14:textId="77777777" w:rsidR="00772575" w:rsidRPr="00772575" w:rsidRDefault="00772575" w:rsidP="00772575">
      <w:pPr>
        <w:spacing w:after="0" w:line="240" w:lineRule="auto"/>
        <w:rPr>
          <w:rFonts w:ascii="Arial" w:hAnsi="Arial" w:cs="Arial"/>
          <w:b/>
          <w:bCs/>
        </w:rPr>
      </w:pPr>
    </w:p>
    <w:p w14:paraId="6A375505" w14:textId="77777777" w:rsidR="00772575" w:rsidRDefault="00772575" w:rsidP="00772575">
      <w:pPr>
        <w:spacing w:after="0" w:line="240" w:lineRule="auto"/>
        <w:rPr>
          <w:rFonts w:ascii="Arial" w:hAnsi="Arial" w:cs="Arial"/>
        </w:rPr>
      </w:pPr>
      <w:r w:rsidRPr="00772575">
        <w:rPr>
          <w:rFonts w:ascii="Arial" w:hAnsi="Arial" w:cs="Arial"/>
        </w:rPr>
        <w:t>The</w:t>
      </w:r>
      <w:r w:rsidR="00215219">
        <w:rPr>
          <w:rFonts w:ascii="Arial" w:hAnsi="Arial" w:cs="Arial"/>
        </w:rPr>
        <w:t xml:space="preserve"> </w:t>
      </w:r>
      <w:hyperlink r:id="rId17" w:history="1">
        <w:r w:rsidR="00215219" w:rsidRPr="00215219">
          <w:rPr>
            <w:rStyle w:val="Hyperlink"/>
            <w:rFonts w:ascii="Arial" w:hAnsi="Arial" w:cs="Arial"/>
          </w:rPr>
          <w:t>Temporary Residents Program</w:t>
        </w:r>
      </w:hyperlink>
      <w:r w:rsidRPr="00772575">
        <w:rPr>
          <w:rFonts w:ascii="Arial" w:hAnsi="Arial" w:cs="Arial"/>
        </w:rPr>
        <w:t xml:space="preserve"> has information about eligibility and the forms to complete an application.</w:t>
      </w:r>
    </w:p>
    <w:p w14:paraId="67C57FF9" w14:textId="77777777" w:rsidR="00772575" w:rsidRDefault="00772575" w:rsidP="00772575">
      <w:pPr>
        <w:spacing w:after="0" w:line="240" w:lineRule="auto"/>
        <w:rPr>
          <w:rFonts w:ascii="Arial" w:hAnsi="Arial" w:cs="Arial"/>
        </w:rPr>
      </w:pPr>
    </w:p>
    <w:p w14:paraId="1ECB6786" w14:textId="77777777" w:rsidR="00772575" w:rsidRPr="00772575" w:rsidRDefault="00772575" w:rsidP="00772575">
      <w:pPr>
        <w:spacing w:after="0" w:line="240" w:lineRule="auto"/>
        <w:rPr>
          <w:rFonts w:ascii="Arial" w:hAnsi="Arial" w:cs="Arial"/>
        </w:rPr>
      </w:pPr>
    </w:p>
    <w:p w14:paraId="7C4F4104" w14:textId="77777777" w:rsidR="00215219" w:rsidRDefault="00215219" w:rsidP="00303DA1">
      <w:pPr>
        <w:spacing w:after="0" w:line="240" w:lineRule="auto"/>
        <w:rPr>
          <w:rFonts w:ascii="Arial" w:hAnsi="Arial" w:cs="Arial"/>
        </w:rPr>
      </w:pPr>
    </w:p>
    <w:p w14:paraId="077E1F48" w14:textId="77777777" w:rsidR="00215219" w:rsidRDefault="00215219" w:rsidP="00303DA1">
      <w:pPr>
        <w:spacing w:after="0" w:line="240" w:lineRule="auto"/>
        <w:rPr>
          <w:rFonts w:ascii="Arial" w:hAnsi="Arial" w:cs="Arial"/>
        </w:rPr>
      </w:pPr>
    </w:p>
    <w:p w14:paraId="0C82C522" w14:textId="77777777" w:rsidR="009C4C0E" w:rsidRPr="00303DA1" w:rsidRDefault="00303DA1" w:rsidP="00303DA1">
      <w:pPr>
        <w:spacing w:after="0" w:line="240" w:lineRule="auto"/>
        <w:rPr>
          <w:rFonts w:ascii="Arial" w:hAnsi="Arial" w:cs="Arial"/>
        </w:rPr>
      </w:pPr>
      <w:r w:rsidRPr="00303DA1">
        <w:rPr>
          <w:rFonts w:ascii="Arial" w:hAnsi="Arial" w:cs="Arial"/>
        </w:rPr>
        <w:t xml:space="preserve">(Reviewed </w:t>
      </w:r>
      <w:r w:rsidR="00887B6D">
        <w:rPr>
          <w:rFonts w:ascii="Arial" w:hAnsi="Arial" w:cs="Arial"/>
        </w:rPr>
        <w:t>A</w:t>
      </w:r>
      <w:r w:rsidR="0054419C">
        <w:rPr>
          <w:rFonts w:ascii="Arial" w:hAnsi="Arial" w:cs="Arial"/>
        </w:rPr>
        <w:t>ugust</w:t>
      </w:r>
      <w:r w:rsidR="00887B6D">
        <w:rPr>
          <w:rFonts w:ascii="Arial" w:hAnsi="Arial" w:cs="Arial"/>
        </w:rPr>
        <w:t xml:space="preserve"> 202</w:t>
      </w:r>
      <w:r w:rsidR="0054419C">
        <w:rPr>
          <w:rFonts w:ascii="Arial" w:hAnsi="Arial" w:cs="Arial"/>
        </w:rPr>
        <w:t>1</w:t>
      </w:r>
      <w:r w:rsidRPr="00303DA1">
        <w:rPr>
          <w:rFonts w:ascii="Arial" w:hAnsi="Arial" w:cs="Arial"/>
        </w:rPr>
        <w:t>)</w:t>
      </w:r>
    </w:p>
    <w:sectPr w:rsidR="009C4C0E" w:rsidRPr="00303DA1" w:rsidSect="0005790A">
      <w:headerReference w:type="even" r:id="rId18"/>
      <w:headerReference w:type="default" r:id="rId19"/>
      <w:footerReference w:type="even" r:id="rId20"/>
      <w:footerReference w:type="default" r:id="rId21"/>
      <w:headerReference w:type="first" r:id="rId22"/>
      <w:footerReference w:type="first" r:id="rId23"/>
      <w:pgSz w:w="11906" w:h="16838"/>
      <w:pgMar w:top="720"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52B4" w14:textId="77777777" w:rsidR="00984CBD" w:rsidRDefault="00984CBD" w:rsidP="00600DBB">
      <w:pPr>
        <w:spacing w:after="0" w:line="240" w:lineRule="auto"/>
      </w:pPr>
      <w:r>
        <w:separator/>
      </w:r>
    </w:p>
  </w:endnote>
  <w:endnote w:type="continuationSeparator" w:id="0">
    <w:p w14:paraId="2AADF146" w14:textId="77777777" w:rsidR="00984CBD" w:rsidRDefault="00984CBD" w:rsidP="0060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B0E5" w14:textId="77777777" w:rsidR="00600DBB" w:rsidRDefault="0060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5310" w14:textId="77777777" w:rsidR="00600DBB" w:rsidRDefault="00600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E71C" w14:textId="77777777" w:rsidR="00600DBB" w:rsidRDefault="0060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B850" w14:textId="77777777" w:rsidR="00984CBD" w:rsidRDefault="00984CBD" w:rsidP="00600DBB">
      <w:pPr>
        <w:spacing w:after="0" w:line="240" w:lineRule="auto"/>
      </w:pPr>
      <w:r>
        <w:separator/>
      </w:r>
    </w:p>
  </w:footnote>
  <w:footnote w:type="continuationSeparator" w:id="0">
    <w:p w14:paraId="078F6B7C" w14:textId="77777777" w:rsidR="00984CBD" w:rsidRDefault="00984CBD" w:rsidP="0060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570B" w14:textId="77777777" w:rsidR="00600DBB" w:rsidRDefault="00600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7ECD" w14:textId="77777777" w:rsidR="00600DBB" w:rsidRDefault="00600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4391" w14:textId="77777777" w:rsidR="00600DBB" w:rsidRDefault="00600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1F45"/>
    <w:multiLevelType w:val="hybridMultilevel"/>
    <w:tmpl w:val="D6E0FCC2"/>
    <w:lvl w:ilvl="0" w:tplc="B106D0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8D3D4B"/>
    <w:multiLevelType w:val="hybridMultilevel"/>
    <w:tmpl w:val="3650059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655504"/>
    <w:multiLevelType w:val="hybridMultilevel"/>
    <w:tmpl w:val="91EED4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9100D1"/>
    <w:multiLevelType w:val="hybridMultilevel"/>
    <w:tmpl w:val="FD98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3E58"/>
    <w:multiLevelType w:val="hybridMultilevel"/>
    <w:tmpl w:val="E8383C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756282"/>
    <w:multiLevelType w:val="hybridMultilevel"/>
    <w:tmpl w:val="FE6AE400"/>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07"/>
    <w:rsid w:val="000436A6"/>
    <w:rsid w:val="00047A7C"/>
    <w:rsid w:val="00053BA7"/>
    <w:rsid w:val="0005790A"/>
    <w:rsid w:val="00122CC2"/>
    <w:rsid w:val="0018003D"/>
    <w:rsid w:val="001B7587"/>
    <w:rsid w:val="001F227A"/>
    <w:rsid w:val="00215219"/>
    <w:rsid w:val="002A7F2D"/>
    <w:rsid w:val="00303DA1"/>
    <w:rsid w:val="00424060"/>
    <w:rsid w:val="004D3F7D"/>
    <w:rsid w:val="0054419C"/>
    <w:rsid w:val="005C0D9D"/>
    <w:rsid w:val="00600DBB"/>
    <w:rsid w:val="00714C07"/>
    <w:rsid w:val="00724019"/>
    <w:rsid w:val="00772575"/>
    <w:rsid w:val="007C3B41"/>
    <w:rsid w:val="007D21C4"/>
    <w:rsid w:val="007D2374"/>
    <w:rsid w:val="00887B6D"/>
    <w:rsid w:val="008C7BC4"/>
    <w:rsid w:val="00984CBD"/>
    <w:rsid w:val="009C4C0E"/>
    <w:rsid w:val="00A01191"/>
    <w:rsid w:val="00BB4989"/>
    <w:rsid w:val="00C8177C"/>
    <w:rsid w:val="00CB4080"/>
    <w:rsid w:val="00DB79A1"/>
    <w:rsid w:val="00E77485"/>
    <w:rsid w:val="00F82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0481"/>
  <w15:chartTrackingRefBased/>
  <w15:docId w15:val="{BD47A5B4-EBF5-40BA-85CC-60E59354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A1"/>
    <w:rPr>
      <w:color w:val="0563C1" w:themeColor="hyperlink"/>
      <w:u w:val="single"/>
    </w:rPr>
  </w:style>
  <w:style w:type="character" w:styleId="UnresolvedMention">
    <w:name w:val="Unresolved Mention"/>
    <w:basedOn w:val="DefaultParagraphFont"/>
    <w:uiPriority w:val="99"/>
    <w:semiHidden/>
    <w:unhideWhenUsed/>
    <w:rsid w:val="00303DA1"/>
    <w:rPr>
      <w:color w:val="605E5C"/>
      <w:shd w:val="clear" w:color="auto" w:fill="E1DFDD"/>
    </w:rPr>
  </w:style>
  <w:style w:type="table" w:styleId="TableGrid">
    <w:name w:val="Table Grid"/>
    <w:basedOn w:val="TableNormal"/>
    <w:uiPriority w:val="39"/>
    <w:rsid w:val="0072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19"/>
    <w:pPr>
      <w:ind w:left="720"/>
      <w:contextualSpacing/>
    </w:pPr>
  </w:style>
  <w:style w:type="paragraph" w:styleId="BalloonText">
    <w:name w:val="Balloon Text"/>
    <w:basedOn w:val="Normal"/>
    <w:link w:val="BalloonTextChar"/>
    <w:uiPriority w:val="99"/>
    <w:semiHidden/>
    <w:unhideWhenUsed/>
    <w:rsid w:val="0088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B6D"/>
    <w:rPr>
      <w:rFonts w:ascii="Segoe UI" w:hAnsi="Segoe UI" w:cs="Segoe UI"/>
      <w:sz w:val="18"/>
      <w:szCs w:val="18"/>
    </w:rPr>
  </w:style>
  <w:style w:type="character" w:styleId="FollowedHyperlink">
    <w:name w:val="FollowedHyperlink"/>
    <w:basedOn w:val="DefaultParagraphFont"/>
    <w:uiPriority w:val="99"/>
    <w:semiHidden/>
    <w:unhideWhenUsed/>
    <w:rsid w:val="00772575"/>
    <w:rPr>
      <w:color w:val="954F72" w:themeColor="followedHyperlink"/>
      <w:u w:val="single"/>
    </w:rPr>
  </w:style>
  <w:style w:type="paragraph" w:styleId="Header">
    <w:name w:val="header"/>
    <w:basedOn w:val="Normal"/>
    <w:link w:val="HeaderChar"/>
    <w:uiPriority w:val="99"/>
    <w:unhideWhenUsed/>
    <w:rsid w:val="0060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BB"/>
  </w:style>
  <w:style w:type="paragraph" w:styleId="Footer">
    <w:name w:val="footer"/>
    <w:basedOn w:val="Normal"/>
    <w:link w:val="FooterChar"/>
    <w:uiPriority w:val="99"/>
    <w:unhideWhenUsed/>
    <w:rsid w:val="0060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8446">
      <w:bodyDiv w:val="1"/>
      <w:marLeft w:val="0"/>
      <w:marRight w:val="0"/>
      <w:marTop w:val="0"/>
      <w:marBottom w:val="0"/>
      <w:divBdr>
        <w:top w:val="none" w:sz="0" w:space="0" w:color="auto"/>
        <w:left w:val="none" w:sz="0" w:space="0" w:color="auto"/>
        <w:bottom w:val="none" w:sz="0" w:space="0" w:color="auto"/>
        <w:right w:val="none" w:sz="0" w:space="0" w:color="auto"/>
      </w:divBdr>
    </w:div>
    <w:div w:id="437994773">
      <w:bodyDiv w:val="1"/>
      <w:marLeft w:val="0"/>
      <w:marRight w:val="0"/>
      <w:marTop w:val="0"/>
      <w:marBottom w:val="0"/>
      <w:divBdr>
        <w:top w:val="none" w:sz="0" w:space="0" w:color="auto"/>
        <w:left w:val="none" w:sz="0" w:space="0" w:color="auto"/>
        <w:bottom w:val="none" w:sz="0" w:space="0" w:color="auto"/>
        <w:right w:val="none" w:sz="0" w:space="0" w:color="auto"/>
      </w:divBdr>
    </w:div>
    <w:div w:id="548344236">
      <w:bodyDiv w:val="1"/>
      <w:marLeft w:val="0"/>
      <w:marRight w:val="0"/>
      <w:marTop w:val="0"/>
      <w:marBottom w:val="0"/>
      <w:divBdr>
        <w:top w:val="none" w:sz="0" w:space="0" w:color="auto"/>
        <w:left w:val="none" w:sz="0" w:space="0" w:color="auto"/>
        <w:bottom w:val="none" w:sz="0" w:space="0" w:color="auto"/>
        <w:right w:val="none" w:sz="0" w:space="0" w:color="auto"/>
      </w:divBdr>
      <w:divsChild>
        <w:div w:id="1112091998">
          <w:marLeft w:val="0"/>
          <w:marRight w:val="0"/>
          <w:marTop w:val="0"/>
          <w:marBottom w:val="0"/>
          <w:divBdr>
            <w:top w:val="none" w:sz="0" w:space="0" w:color="auto"/>
            <w:left w:val="none" w:sz="0" w:space="0" w:color="auto"/>
            <w:bottom w:val="none" w:sz="0" w:space="0" w:color="auto"/>
            <w:right w:val="none" w:sz="0" w:space="0" w:color="auto"/>
          </w:divBdr>
        </w:div>
        <w:div w:id="271204613">
          <w:marLeft w:val="0"/>
          <w:marRight w:val="0"/>
          <w:marTop w:val="0"/>
          <w:marBottom w:val="0"/>
          <w:divBdr>
            <w:top w:val="none" w:sz="0" w:space="0" w:color="auto"/>
            <w:left w:val="none" w:sz="0" w:space="0" w:color="auto"/>
            <w:bottom w:val="none" w:sz="0" w:space="0" w:color="auto"/>
            <w:right w:val="none" w:sz="0" w:space="0" w:color="auto"/>
          </w:divBdr>
        </w:div>
        <w:div w:id="2034257286">
          <w:marLeft w:val="0"/>
          <w:marRight w:val="0"/>
          <w:marTop w:val="0"/>
          <w:marBottom w:val="0"/>
          <w:divBdr>
            <w:top w:val="none" w:sz="0" w:space="0" w:color="auto"/>
            <w:left w:val="none" w:sz="0" w:space="0" w:color="auto"/>
            <w:bottom w:val="none" w:sz="0" w:space="0" w:color="auto"/>
            <w:right w:val="none" w:sz="0" w:space="0" w:color="auto"/>
          </w:divBdr>
        </w:div>
        <w:div w:id="774010880">
          <w:marLeft w:val="0"/>
          <w:marRight w:val="0"/>
          <w:marTop w:val="0"/>
          <w:marBottom w:val="0"/>
          <w:divBdr>
            <w:top w:val="none" w:sz="0" w:space="0" w:color="auto"/>
            <w:left w:val="none" w:sz="0" w:space="0" w:color="auto"/>
            <w:bottom w:val="none" w:sz="0" w:space="0" w:color="auto"/>
            <w:right w:val="none" w:sz="0" w:space="0" w:color="auto"/>
          </w:divBdr>
        </w:div>
        <w:div w:id="1438528434">
          <w:marLeft w:val="0"/>
          <w:marRight w:val="0"/>
          <w:marTop w:val="0"/>
          <w:marBottom w:val="0"/>
          <w:divBdr>
            <w:top w:val="none" w:sz="0" w:space="0" w:color="auto"/>
            <w:left w:val="none" w:sz="0" w:space="0" w:color="auto"/>
            <w:bottom w:val="none" w:sz="0" w:space="0" w:color="auto"/>
            <w:right w:val="none" w:sz="0" w:space="0" w:color="auto"/>
          </w:divBdr>
        </w:div>
        <w:div w:id="1308558043">
          <w:marLeft w:val="0"/>
          <w:marRight w:val="0"/>
          <w:marTop w:val="0"/>
          <w:marBottom w:val="0"/>
          <w:divBdr>
            <w:top w:val="none" w:sz="0" w:space="0" w:color="auto"/>
            <w:left w:val="none" w:sz="0" w:space="0" w:color="auto"/>
            <w:bottom w:val="none" w:sz="0" w:space="0" w:color="auto"/>
            <w:right w:val="none" w:sz="0" w:space="0" w:color="auto"/>
          </w:divBdr>
        </w:div>
        <w:div w:id="354305783">
          <w:marLeft w:val="0"/>
          <w:marRight w:val="0"/>
          <w:marTop w:val="0"/>
          <w:marBottom w:val="0"/>
          <w:divBdr>
            <w:top w:val="none" w:sz="0" w:space="0" w:color="auto"/>
            <w:left w:val="none" w:sz="0" w:space="0" w:color="auto"/>
            <w:bottom w:val="none" w:sz="0" w:space="0" w:color="auto"/>
            <w:right w:val="none" w:sz="0" w:space="0" w:color="auto"/>
          </w:divBdr>
        </w:div>
        <w:div w:id="24141691">
          <w:marLeft w:val="0"/>
          <w:marRight w:val="0"/>
          <w:marTop w:val="0"/>
          <w:marBottom w:val="0"/>
          <w:divBdr>
            <w:top w:val="none" w:sz="0" w:space="0" w:color="auto"/>
            <w:left w:val="none" w:sz="0" w:space="0" w:color="auto"/>
            <w:bottom w:val="none" w:sz="0" w:space="0" w:color="auto"/>
            <w:right w:val="none" w:sz="0" w:space="0" w:color="auto"/>
          </w:divBdr>
        </w:div>
      </w:divsChild>
    </w:div>
    <w:div w:id="1068191283">
      <w:bodyDiv w:val="1"/>
      <w:marLeft w:val="0"/>
      <w:marRight w:val="0"/>
      <w:marTop w:val="0"/>
      <w:marBottom w:val="0"/>
      <w:divBdr>
        <w:top w:val="none" w:sz="0" w:space="0" w:color="auto"/>
        <w:left w:val="none" w:sz="0" w:space="0" w:color="auto"/>
        <w:bottom w:val="none" w:sz="0" w:space="0" w:color="auto"/>
        <w:right w:val="none" w:sz="0" w:space="0" w:color="auto"/>
      </w:divBdr>
      <w:divsChild>
        <w:div w:id="929585502">
          <w:marLeft w:val="0"/>
          <w:marRight w:val="0"/>
          <w:marTop w:val="0"/>
          <w:marBottom w:val="0"/>
          <w:divBdr>
            <w:top w:val="none" w:sz="0" w:space="0" w:color="auto"/>
            <w:left w:val="none" w:sz="0" w:space="0" w:color="auto"/>
            <w:bottom w:val="none" w:sz="0" w:space="0" w:color="auto"/>
            <w:right w:val="none" w:sz="0" w:space="0" w:color="auto"/>
          </w:divBdr>
        </w:div>
        <w:div w:id="100686361">
          <w:marLeft w:val="0"/>
          <w:marRight w:val="0"/>
          <w:marTop w:val="0"/>
          <w:marBottom w:val="0"/>
          <w:divBdr>
            <w:top w:val="none" w:sz="0" w:space="0" w:color="auto"/>
            <w:left w:val="none" w:sz="0" w:space="0" w:color="auto"/>
            <w:bottom w:val="none" w:sz="0" w:space="0" w:color="auto"/>
            <w:right w:val="none" w:sz="0" w:space="0" w:color="auto"/>
          </w:divBdr>
        </w:div>
        <w:div w:id="362288202">
          <w:marLeft w:val="0"/>
          <w:marRight w:val="0"/>
          <w:marTop w:val="0"/>
          <w:marBottom w:val="0"/>
          <w:divBdr>
            <w:top w:val="none" w:sz="0" w:space="0" w:color="auto"/>
            <w:left w:val="none" w:sz="0" w:space="0" w:color="auto"/>
            <w:bottom w:val="none" w:sz="0" w:space="0" w:color="auto"/>
            <w:right w:val="none" w:sz="0" w:space="0" w:color="auto"/>
          </w:divBdr>
        </w:div>
        <w:div w:id="1728530231">
          <w:marLeft w:val="0"/>
          <w:marRight w:val="0"/>
          <w:marTop w:val="0"/>
          <w:marBottom w:val="0"/>
          <w:divBdr>
            <w:top w:val="none" w:sz="0" w:space="0" w:color="auto"/>
            <w:left w:val="none" w:sz="0" w:space="0" w:color="auto"/>
            <w:bottom w:val="none" w:sz="0" w:space="0" w:color="auto"/>
            <w:right w:val="none" w:sz="0" w:space="0" w:color="auto"/>
          </w:divBdr>
        </w:div>
        <w:div w:id="938175861">
          <w:marLeft w:val="0"/>
          <w:marRight w:val="0"/>
          <w:marTop w:val="0"/>
          <w:marBottom w:val="0"/>
          <w:divBdr>
            <w:top w:val="none" w:sz="0" w:space="0" w:color="auto"/>
            <w:left w:val="none" w:sz="0" w:space="0" w:color="auto"/>
            <w:bottom w:val="none" w:sz="0" w:space="0" w:color="auto"/>
            <w:right w:val="none" w:sz="0" w:space="0" w:color="auto"/>
          </w:divBdr>
        </w:div>
        <w:div w:id="1501386873">
          <w:marLeft w:val="0"/>
          <w:marRight w:val="0"/>
          <w:marTop w:val="0"/>
          <w:marBottom w:val="0"/>
          <w:divBdr>
            <w:top w:val="none" w:sz="0" w:space="0" w:color="auto"/>
            <w:left w:val="none" w:sz="0" w:space="0" w:color="auto"/>
            <w:bottom w:val="none" w:sz="0" w:space="0" w:color="auto"/>
            <w:right w:val="none" w:sz="0" w:space="0" w:color="auto"/>
          </w:divBdr>
        </w:div>
        <w:div w:id="1221012370">
          <w:marLeft w:val="0"/>
          <w:marRight w:val="0"/>
          <w:marTop w:val="0"/>
          <w:marBottom w:val="0"/>
          <w:divBdr>
            <w:top w:val="none" w:sz="0" w:space="0" w:color="auto"/>
            <w:left w:val="none" w:sz="0" w:space="0" w:color="auto"/>
            <w:bottom w:val="none" w:sz="0" w:space="0" w:color="auto"/>
            <w:right w:val="none" w:sz="0" w:space="0" w:color="auto"/>
          </w:divBdr>
        </w:div>
        <w:div w:id="116996682">
          <w:marLeft w:val="0"/>
          <w:marRight w:val="0"/>
          <w:marTop w:val="0"/>
          <w:marBottom w:val="0"/>
          <w:divBdr>
            <w:top w:val="none" w:sz="0" w:space="0" w:color="auto"/>
            <w:left w:val="none" w:sz="0" w:space="0" w:color="auto"/>
            <w:bottom w:val="none" w:sz="0" w:space="0" w:color="auto"/>
            <w:right w:val="none" w:sz="0" w:space="0" w:color="auto"/>
          </w:divBdr>
        </w:div>
      </w:divsChild>
    </w:div>
    <w:div w:id="1395355631">
      <w:bodyDiv w:val="1"/>
      <w:marLeft w:val="0"/>
      <w:marRight w:val="0"/>
      <w:marTop w:val="0"/>
      <w:marBottom w:val="0"/>
      <w:divBdr>
        <w:top w:val="none" w:sz="0" w:space="0" w:color="auto"/>
        <w:left w:val="none" w:sz="0" w:space="0" w:color="auto"/>
        <w:bottom w:val="none" w:sz="0" w:space="0" w:color="auto"/>
        <w:right w:val="none" w:sz="0" w:space="0" w:color="auto"/>
      </w:divBdr>
    </w:div>
    <w:div w:id="17465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d-2002-0006" TargetMode="External"/><Relationship Id="rId13" Type="http://schemas.openxmlformats.org/officeDocument/2006/relationships/hyperlink" Target="https://schoolsequella.det.nsw.edu.au/file/fa2e1086-e72f-4399-8944-5a9cd2e15c96/1/ss-appack-8-1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education.nsw.gov.au/content/dam/main-education/public-schools/going-to-a-public-school/media/documents/enrol-k12.pdf" TargetMode="External"/><Relationship Id="rId17" Type="http://schemas.openxmlformats.org/officeDocument/2006/relationships/hyperlink" Target="https://www.deinternational.nsw.edu.au/study-options/study-programs/temporary-resid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nsw.gov.au/public-schools/selective-high-schools-and-opportunity-classes/years-8-to-12/outco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ublic-schools/going-to-a-public-school/translated-documents/enrolment-appli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nsw.gov.au/public-schools/selective-high-schools-and-opportunity-classes/year-7/outcome/appeals" TargetMode="External"/><Relationship Id="rId23" Type="http://schemas.openxmlformats.org/officeDocument/2006/relationships/footer" Target="footer3.xml"/><Relationship Id="rId10" Type="http://schemas.openxmlformats.org/officeDocument/2006/relationships/hyperlink" Target="https://my.education.nsw.gov.au/school-finder/inde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ation.nsw.gov.au/content/dam/main-education/public-schools/going-to-a-public-school/media/documents/changes-to-the-enrolment-policy-for-parents.pdf" TargetMode="External"/><Relationship Id="rId14" Type="http://schemas.openxmlformats.org/officeDocument/2006/relationships/hyperlink" Target="https://schoolsequella.det.nsw.edu.au/file/b02ab8ae-016d-44eb-aa86-73fd9856e224/1/ss-app-form-8-12.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Beek</dc:creator>
  <cp:keywords/>
  <dc:description/>
  <cp:lastModifiedBy>Leiza Lewis</cp:lastModifiedBy>
  <cp:revision>2</cp:revision>
  <cp:lastPrinted>2020-04-30T02:20:00Z</cp:lastPrinted>
  <dcterms:created xsi:type="dcterms:W3CDTF">2021-08-24T00:17:00Z</dcterms:created>
  <dcterms:modified xsi:type="dcterms:W3CDTF">2021-08-24T00:17:00Z</dcterms:modified>
</cp:coreProperties>
</file>